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57416B" w:rsidR="00385584" w:rsidP="00385584" w:rsidRDefault="00385584" w14:paraId="7BEDC0C1" w14:textId="77777777">
      <w:pPr>
        <w:pStyle w:val="Portadadeldocumento"/>
        <w:outlineLvl w:val="9"/>
        <w:rPr>
          <w:sz w:val="36"/>
          <w:szCs w:val="36"/>
        </w:rPr>
      </w:pPr>
      <w:bookmarkStart w:name="_Toc105745763" w:id="0"/>
      <w:bookmarkStart w:name="_Toc156309624" w:id="1"/>
      <w:r>
        <w:rPr>
          <w:sz w:val="36"/>
          <w:szCs w:val="36"/>
        </w:rPr>
        <w:t>LÍNEAS DE INVESTIGACIÓN ICFES</w:t>
      </w:r>
      <w:bookmarkEnd w:id="0"/>
      <w:bookmarkEnd w:id="1"/>
    </w:p>
    <w:p w:rsidRPr="00523BBE" w:rsidR="00385584" w:rsidP="627B0EF3" w:rsidRDefault="00385584" w14:paraId="560F90ED" w14:textId="747B984E">
      <w:pPr>
        <w:rPr>
          <w:rFonts w:cs="Calibri"/>
          <w:lang w:val="es-ES"/>
        </w:rPr>
      </w:pPr>
      <w:r w:rsidRPr="627B0EF3" w:rsidR="00385584">
        <w:rPr>
          <w:rFonts w:cs="Calibri"/>
          <w:lang w:val="es-ES"/>
        </w:rPr>
        <w:t>Además</w:t>
      </w:r>
      <w:r w:rsidRPr="627B0EF3" w:rsidR="00385584">
        <w:rPr>
          <w:rFonts w:cs="Calibri"/>
          <w:lang w:val="es-ES"/>
        </w:rPr>
        <w:t xml:space="preserve">, </w:t>
      </w:r>
      <w:r w:rsidRPr="627B0EF3" w:rsidR="00385584">
        <w:rPr>
          <w:rFonts w:cs="Calibri"/>
          <w:lang w:val="es-ES"/>
        </w:rPr>
        <w:t xml:space="preserve">los temas objeto de la propuesta deben clasificarse en alguna de las líneas de investigación del Instituto. Cada línea está definida por uno o más objetivos que, en armonía con la misionalidad de </w:t>
      </w:r>
      <w:r w:rsidRPr="627B0EF3" w:rsidR="00385584">
        <w:rPr>
          <w:rFonts w:cs="Calibri"/>
          <w:b w:val="1"/>
          <w:bCs w:val="1"/>
          <w:lang w:val="es-ES"/>
        </w:rPr>
        <w:t>El Icfes,</w:t>
      </w:r>
      <w:r w:rsidRPr="627B0EF3" w:rsidR="00385584">
        <w:rPr>
          <w:rFonts w:cs="Calibri"/>
          <w:lang w:val="es-ES"/>
        </w:rPr>
        <w:t xml:space="preserve"> buscan generar evidencia en torno a la evaluación de la educación a gran escala; los resultados de aprendizaje de los estudiantes; y la apropiación social de la evaluación. Las líneas de investigación de </w:t>
      </w:r>
      <w:r w:rsidRPr="627B0EF3" w:rsidR="00385584">
        <w:rPr>
          <w:rFonts w:cs="Calibri"/>
          <w:b w:val="1"/>
          <w:bCs w:val="1"/>
          <w:lang w:val="es-ES"/>
        </w:rPr>
        <w:t>El Icfes</w:t>
      </w:r>
      <w:r w:rsidRPr="627B0EF3" w:rsidR="00385584">
        <w:rPr>
          <w:rFonts w:cs="Calibri"/>
          <w:lang w:val="es-ES"/>
        </w:rPr>
        <w:t xml:space="preserve"> se presentan en la</w:t>
      </w:r>
      <w:r w:rsidRPr="627B0EF3" w:rsidR="1F77DE05">
        <w:rPr>
          <w:rFonts w:cs="Calibri"/>
          <w:lang w:val="es-ES"/>
        </w:rPr>
        <w:t xml:space="preserve">s</w:t>
      </w:r>
      <w:r w:rsidRPr="627B0EF3" w:rsidR="00385584">
        <w:rPr>
          <w:rFonts w:cs="Calibri"/>
          <w:lang w:val="es-ES"/>
        </w:rPr>
        <w:t xml:space="preserve"> siguiente</w:t>
      </w:r>
      <w:r w:rsidRPr="627B0EF3" w:rsidR="0372A817">
        <w:rPr>
          <w:rFonts w:cs="Calibri"/>
          <w:lang w:val="es-ES"/>
        </w:rPr>
        <w:t xml:space="preserve">s</w:t>
      </w:r>
      <w:r w:rsidRPr="627B0EF3" w:rsidR="00385584">
        <w:rPr>
          <w:rFonts w:cs="Calibri"/>
          <w:lang w:val="es-ES"/>
        </w:rPr>
        <w:t xml:space="preserve"> </w:t>
      </w:r>
      <w:r w:rsidRPr="627B0EF3" w:rsidR="7CCAD00A">
        <w:rPr>
          <w:rFonts w:cs="Calibri"/>
          <w:lang w:val="es-ES"/>
        </w:rPr>
        <w:t xml:space="preserve">tablas.</w:t>
      </w:r>
    </w:p>
    <w:p w:rsidRPr="00523BBE" w:rsidR="00385584" w:rsidP="627B0EF3" w:rsidRDefault="00385584" w14:paraId="4610F19E" w14:textId="36737CD3">
      <w:pPr>
        <w:rPr>
          <w:rFonts w:cs="Calibri"/>
          <w:lang w:val="es-ES"/>
        </w:rPr>
      </w:pPr>
    </w:p>
    <w:p w:rsidRPr="00523BBE" w:rsidR="00385584" w:rsidP="00385584" w:rsidRDefault="00385584" w14:paraId="4817C1F7" w14:textId="77777777">
      <w:pPr>
        <w:pStyle w:val="Descripcin"/>
        <w:keepNext/>
        <w:rPr>
          <w:rFonts w:cs="Calibri"/>
          <w:sz w:val="24"/>
          <w:szCs w:val="24"/>
          <w:lang w:val="es-ES"/>
        </w:rPr>
      </w:pPr>
      <w:bookmarkStart w:name="_Ref127202730" w:id="2"/>
      <w:r w:rsidRPr="627B0EF3" w:rsidR="00385584">
        <w:rPr>
          <w:rFonts w:cs="Calibri"/>
          <w:sz w:val="24"/>
          <w:szCs w:val="24"/>
        </w:rPr>
        <w:t xml:space="preserve">Tabla </w:t>
      </w:r>
      <w:r w:rsidRPr="627B0EF3">
        <w:rPr>
          <w:rFonts w:cs="Calibri"/>
          <w:sz w:val="24"/>
          <w:szCs w:val="24"/>
        </w:rPr>
        <w:fldChar w:fldCharType="begin"/>
      </w:r>
      <w:r w:rsidRPr="627B0EF3">
        <w:rPr>
          <w:rFonts w:cs="Calibri"/>
          <w:sz w:val="24"/>
          <w:szCs w:val="24"/>
        </w:rPr>
        <w:instrText xml:space="preserve"> SEQ Tabla \* ARABIC </w:instrText>
      </w:r>
      <w:r w:rsidRPr="627B0EF3">
        <w:rPr>
          <w:rFonts w:cs="Calibri"/>
          <w:sz w:val="24"/>
          <w:szCs w:val="24"/>
        </w:rPr>
        <w:fldChar w:fldCharType="separate"/>
      </w:r>
      <w:r w:rsidRPr="627B0EF3" w:rsidR="00385584">
        <w:rPr>
          <w:rFonts w:cs="Calibri"/>
          <w:noProof/>
          <w:sz w:val="24"/>
          <w:szCs w:val="24"/>
        </w:rPr>
        <w:t>1</w:t>
      </w:r>
      <w:r w:rsidRPr="627B0EF3">
        <w:rPr>
          <w:rFonts w:cs="Calibri"/>
          <w:sz w:val="24"/>
          <w:szCs w:val="24"/>
        </w:rPr>
        <w:fldChar w:fldCharType="end"/>
      </w:r>
      <w:bookmarkEnd w:id="2"/>
      <w:r w:rsidRPr="627B0EF3" w:rsidR="00385584">
        <w:rPr>
          <w:rFonts w:cs="Calibri"/>
          <w:sz w:val="24"/>
          <w:szCs w:val="24"/>
        </w:rPr>
        <w:t xml:space="preserve">. </w:t>
      </w:r>
      <w:r w:rsidRPr="627B0EF3" w:rsidR="00385584">
        <w:rPr>
          <w:rFonts w:cs="Calibri"/>
          <w:b w:val="1"/>
          <w:bCs w:val="1"/>
          <w:sz w:val="24"/>
          <w:szCs w:val="24"/>
          <w:lang w:val="es-ES"/>
        </w:rPr>
        <w:t>Líneas de investigación y objetivos</w:t>
      </w:r>
    </w:p>
    <w:p w:rsidRPr="005470D0" w:rsidR="00385584" w:rsidP="627B0EF3" w:rsidRDefault="00385584" w14:paraId="54910FC3" w14:textId="6D64F281">
      <w:pPr>
        <w:rPr>
          <w:rFonts w:ascii="Aptos" w:hAnsi="Aptos" w:eastAsia="Aptos" w:cs="Aptos"/>
          <w:b w:val="0"/>
          <w:bCs w:val="0"/>
          <w:i w:val="0"/>
          <w:iCs w:val="0"/>
          <w:caps w:val="0"/>
          <w:smallCaps w:val="0"/>
          <w:noProof w:val="0"/>
          <w:color w:val="000000" w:themeColor="text1" w:themeTint="FF" w:themeShade="FF"/>
          <w:sz w:val="24"/>
          <w:szCs w:val="24"/>
          <w:lang w:val="es-CO"/>
        </w:rPr>
      </w:pPr>
    </w:p>
    <w:p w:rsidRPr="005470D0" w:rsidR="00385584" w:rsidP="627B0EF3" w:rsidRDefault="00385584" w14:paraId="486BADD7" w14:textId="1932FAEC">
      <w:pPr>
        <w:ind w:left="0"/>
        <w:rPr>
          <w:rFonts w:ascii="Verdana" w:hAnsi="Verdana" w:eastAsia="Verdana" w:cs="Verdana"/>
          <w:b w:val="0"/>
          <w:bCs w:val="0"/>
          <w:i w:val="0"/>
          <w:iCs w:val="0"/>
          <w:caps w:val="0"/>
          <w:smallCaps w:val="0"/>
          <w:noProof w:val="0"/>
          <w:color w:val="000000" w:themeColor="text1" w:themeTint="FF" w:themeShade="FF"/>
          <w:sz w:val="22"/>
          <w:szCs w:val="22"/>
          <w:lang w:val="es-CO"/>
        </w:rPr>
      </w:pPr>
      <w:r w:rsidRPr="627B0EF3" w:rsidR="1D8EB1C3">
        <w:rPr>
          <w:rFonts w:ascii="Verdana" w:hAnsi="Verdana" w:eastAsia="Verdana" w:cs="Verdana"/>
          <w:b w:val="1"/>
          <w:bCs w:val="1"/>
          <w:i w:val="0"/>
          <w:iCs w:val="0"/>
          <w:caps w:val="0"/>
          <w:smallCaps w:val="0"/>
          <w:noProof w:val="0"/>
          <w:color w:val="000000" w:themeColor="text1" w:themeTint="FF" w:themeShade="FF"/>
          <w:sz w:val="22"/>
          <w:szCs w:val="22"/>
          <w:lang w:val="es-CO"/>
        </w:rPr>
        <w:t>1. Líneas de investigación</w:t>
      </w:r>
    </w:p>
    <w:p w:rsidRPr="005470D0" w:rsidR="00385584" w:rsidP="627B0EF3" w:rsidRDefault="00385584" w14:paraId="51F79D03" w14:textId="24FE5D93">
      <w:pPr>
        <w:spacing w:after="0" w:line="240" w:lineRule="auto"/>
        <w:jc w:val="both"/>
        <w:rPr>
          <w:rFonts w:ascii="Montserrat" w:hAnsi="Montserrat" w:eastAsia="Montserrat" w:cs="Montserrat"/>
          <w:b w:val="0"/>
          <w:bCs w:val="0"/>
          <w:i w:val="0"/>
          <w:iCs w:val="0"/>
          <w:caps w:val="0"/>
          <w:smallCaps w:val="0"/>
          <w:noProof w:val="0"/>
          <w:color w:val="000000" w:themeColor="text1" w:themeTint="FF" w:themeShade="FF"/>
          <w:sz w:val="18"/>
          <w:szCs w:val="18"/>
          <w:lang w:val="es-CO"/>
        </w:rPr>
      </w:pPr>
    </w:p>
    <w:tbl>
      <w:tblPr>
        <w:tblStyle w:val="PlainTable1"/>
        <w:tblW w:w="0" w:type="auto"/>
        <w:tblLayout w:type="fixed"/>
        <w:tblLook w:val="04A0" w:firstRow="1" w:lastRow="0" w:firstColumn="1" w:lastColumn="0" w:noHBand="0" w:noVBand="1"/>
      </w:tblPr>
      <w:tblGrid>
        <w:gridCol w:w="2316"/>
        <w:gridCol w:w="6519"/>
      </w:tblGrid>
      <w:tr w:rsidR="627B0EF3" w:rsidTr="627B0EF3" w14:paraId="09513FB3">
        <w:trPr>
          <w:trHeight w:val="300"/>
        </w:trPr>
        <w:tc>
          <w:tcPr>
            <w:cnfStyle w:val="001000000000" w:firstRow="0" w:lastRow="0" w:firstColumn="1" w:lastColumn="0" w:oddVBand="0" w:evenVBand="0" w:oddHBand="0" w:evenHBand="0" w:firstRowFirstColumn="0" w:firstRowLastColumn="0" w:lastRowFirstColumn="0" w:lastRowLastColumn="0"/>
            <w:tcW w:w="2316" w:type="dxa"/>
            <w:tcMar/>
          </w:tcPr>
          <w:p w:rsidR="627B0EF3" w:rsidP="627B0EF3" w:rsidRDefault="627B0EF3" w14:paraId="568CB7BB" w14:textId="580B8049">
            <w:pPr>
              <w:jc w:val="center"/>
              <w:rPr>
                <w:rFonts w:ascii="Verdana" w:hAnsi="Verdana" w:eastAsia="Verdana" w:cs="Verdana"/>
                <w:b w:val="1"/>
                <w:bCs w:val="1"/>
                <w:i w:val="0"/>
                <w:iCs w:val="0"/>
                <w:color w:val="000000" w:themeColor="text1" w:themeTint="FF" w:themeShade="FF"/>
                <w:sz w:val="20"/>
                <w:szCs w:val="20"/>
              </w:rPr>
            </w:pPr>
            <w:r w:rsidRPr="627B0EF3" w:rsidR="627B0EF3">
              <w:rPr>
                <w:rFonts w:ascii="Verdana" w:hAnsi="Verdana" w:eastAsia="Verdana" w:cs="Verdana"/>
                <w:b w:val="1"/>
                <w:bCs w:val="1"/>
                <w:i w:val="0"/>
                <w:iCs w:val="0"/>
                <w:color w:val="000000" w:themeColor="text1" w:themeTint="FF" w:themeShade="FF"/>
                <w:sz w:val="20"/>
                <w:szCs w:val="20"/>
                <w:lang w:val="es-CO"/>
              </w:rPr>
              <w:t>Línea</w:t>
            </w:r>
          </w:p>
        </w:tc>
        <w:tc>
          <w:tcPr>
            <w:cnfStyle w:val="000000000000" w:firstRow="0" w:lastRow="0" w:firstColumn="0" w:lastColumn="0" w:oddVBand="0" w:evenVBand="0" w:oddHBand="0" w:evenHBand="0" w:firstRowFirstColumn="0" w:firstRowLastColumn="0" w:lastRowFirstColumn="0" w:lastRowLastColumn="0"/>
            <w:tcW w:w="6519" w:type="dxa"/>
            <w:tcMar/>
          </w:tcPr>
          <w:p w:rsidR="627B0EF3" w:rsidP="627B0EF3" w:rsidRDefault="627B0EF3" w14:paraId="2FAEA176" w14:textId="4B09FCA6">
            <w:pPr>
              <w:jc w:val="center"/>
              <w:rPr>
                <w:rFonts w:ascii="Verdana" w:hAnsi="Verdana" w:eastAsia="Verdana" w:cs="Verdana"/>
                <w:b w:val="1"/>
                <w:bCs w:val="1"/>
                <w:i w:val="0"/>
                <w:iCs w:val="0"/>
                <w:color w:val="000000" w:themeColor="text1" w:themeTint="FF" w:themeShade="FF"/>
                <w:sz w:val="20"/>
                <w:szCs w:val="20"/>
              </w:rPr>
            </w:pPr>
            <w:r w:rsidRPr="627B0EF3" w:rsidR="627B0EF3">
              <w:rPr>
                <w:rFonts w:ascii="Verdana" w:hAnsi="Verdana" w:eastAsia="Verdana" w:cs="Verdana"/>
                <w:b w:val="1"/>
                <w:bCs w:val="1"/>
                <w:i w:val="0"/>
                <w:iCs w:val="0"/>
                <w:color w:val="000000" w:themeColor="text1" w:themeTint="FF" w:themeShade="FF"/>
                <w:sz w:val="20"/>
                <w:szCs w:val="20"/>
                <w:lang w:val="es-CO"/>
              </w:rPr>
              <w:t>Objetivo(s)  </w:t>
            </w:r>
          </w:p>
        </w:tc>
      </w:tr>
      <w:tr w:rsidR="627B0EF3" w:rsidTr="627B0EF3" w14:paraId="0CC040E3">
        <w:trPr>
          <w:trHeight w:val="300"/>
        </w:trPr>
        <w:tc>
          <w:tcPr>
            <w:cnfStyle w:val="001000000000" w:firstRow="0" w:lastRow="0" w:firstColumn="1" w:lastColumn="0" w:oddVBand="0" w:evenVBand="0" w:oddHBand="0" w:evenHBand="0" w:firstRowFirstColumn="0" w:firstRowLastColumn="0" w:lastRowFirstColumn="0" w:lastRowLastColumn="0"/>
            <w:tcW w:w="2316" w:type="dxa"/>
            <w:tcMar/>
          </w:tcPr>
          <w:p w:rsidR="627B0EF3" w:rsidP="627B0EF3" w:rsidRDefault="627B0EF3" w14:paraId="14612FD3" w14:textId="0AC8C052">
            <w:pPr>
              <w:jc w:val="center"/>
              <w:rPr>
                <w:rFonts w:ascii="Verdana" w:hAnsi="Verdana" w:eastAsia="Verdana" w:cs="Verdana"/>
                <w:b w:val="1"/>
                <w:bCs w:val="1"/>
                <w:i w:val="0"/>
                <w:iCs w:val="0"/>
                <w:color w:val="000000" w:themeColor="text1" w:themeTint="FF" w:themeShade="FF"/>
                <w:sz w:val="20"/>
                <w:szCs w:val="20"/>
              </w:rPr>
            </w:pPr>
            <w:r w:rsidRPr="627B0EF3" w:rsidR="627B0EF3">
              <w:rPr>
                <w:rFonts w:ascii="Verdana" w:hAnsi="Verdana" w:eastAsia="Verdana" w:cs="Verdana"/>
                <w:b w:val="1"/>
                <w:bCs w:val="1"/>
                <w:i w:val="0"/>
                <w:iCs w:val="0"/>
                <w:color w:val="000000" w:themeColor="text1" w:themeTint="FF" w:themeShade="FF"/>
                <w:sz w:val="20"/>
                <w:szCs w:val="20"/>
                <w:lang w:val="es-CO"/>
              </w:rPr>
              <w:t>1. Nuevos ámbitos de evaluación</w:t>
            </w:r>
          </w:p>
        </w:tc>
        <w:tc>
          <w:tcPr>
            <w:cnfStyle w:val="000000000000" w:firstRow="0" w:lastRow="0" w:firstColumn="0" w:lastColumn="0" w:oddVBand="0" w:evenVBand="0" w:oddHBand="0" w:evenHBand="0" w:firstRowFirstColumn="0" w:firstRowLastColumn="0" w:lastRowFirstColumn="0" w:lastRowLastColumn="0"/>
            <w:tcW w:w="6519" w:type="dxa"/>
            <w:tcMar/>
          </w:tcPr>
          <w:p w:rsidR="627B0EF3" w:rsidP="627B0EF3" w:rsidRDefault="627B0EF3" w14:paraId="3C9BCF36" w14:textId="227F8953">
            <w:pPr>
              <w:jc w:val="both"/>
              <w:rPr>
                <w:rFonts w:ascii="Verdana" w:hAnsi="Verdana" w:eastAsia="Verdana" w:cs="Verdana"/>
                <w:b w:val="0"/>
                <w:bCs w:val="0"/>
                <w:i w:val="0"/>
                <w:iCs w:val="0"/>
                <w:color w:val="000000" w:themeColor="text1" w:themeTint="FF" w:themeShade="FF"/>
                <w:sz w:val="20"/>
                <w:szCs w:val="20"/>
              </w:rPr>
            </w:pPr>
            <w:r w:rsidRPr="627B0EF3" w:rsidR="627B0EF3">
              <w:rPr>
                <w:rFonts w:ascii="Verdana" w:hAnsi="Verdana" w:eastAsia="Verdana" w:cs="Verdana"/>
                <w:b w:val="0"/>
                <w:bCs w:val="0"/>
                <w:i w:val="0"/>
                <w:iCs w:val="0"/>
                <w:color w:val="000000" w:themeColor="text1" w:themeTint="FF" w:themeShade="FF"/>
                <w:sz w:val="20"/>
                <w:szCs w:val="20"/>
                <w:lang w:val="es-CO"/>
              </w:rPr>
              <w:t>Definir los constructos relevantes para medir dominios específicos en educación, a partir del diseño de pruebas a gran escala, válidas y confiables. </w:t>
            </w:r>
          </w:p>
        </w:tc>
      </w:tr>
      <w:tr w:rsidR="627B0EF3" w:rsidTr="627B0EF3" w14:paraId="6465D8C4">
        <w:trPr>
          <w:trHeight w:val="300"/>
        </w:trPr>
        <w:tc>
          <w:tcPr>
            <w:cnfStyle w:val="001000000000" w:firstRow="0" w:lastRow="0" w:firstColumn="1" w:lastColumn="0" w:oddVBand="0" w:evenVBand="0" w:oddHBand="0" w:evenHBand="0" w:firstRowFirstColumn="0" w:firstRowLastColumn="0" w:lastRowFirstColumn="0" w:lastRowLastColumn="0"/>
            <w:tcW w:w="2316" w:type="dxa"/>
            <w:tcMar/>
          </w:tcPr>
          <w:p w:rsidR="627B0EF3" w:rsidP="627B0EF3" w:rsidRDefault="627B0EF3" w14:paraId="785CC959" w14:textId="4749FB8A">
            <w:pPr>
              <w:jc w:val="center"/>
              <w:rPr>
                <w:rFonts w:ascii="Verdana" w:hAnsi="Verdana" w:eastAsia="Verdana" w:cs="Verdana"/>
                <w:b w:val="1"/>
                <w:bCs w:val="1"/>
                <w:i w:val="0"/>
                <w:iCs w:val="0"/>
                <w:color w:val="000000" w:themeColor="text1" w:themeTint="FF" w:themeShade="FF"/>
                <w:sz w:val="20"/>
                <w:szCs w:val="20"/>
              </w:rPr>
            </w:pPr>
            <w:r w:rsidRPr="627B0EF3" w:rsidR="627B0EF3">
              <w:rPr>
                <w:rFonts w:ascii="Verdana" w:hAnsi="Verdana" w:eastAsia="Verdana" w:cs="Verdana"/>
                <w:b w:val="1"/>
                <w:bCs w:val="1"/>
                <w:i w:val="0"/>
                <w:iCs w:val="0"/>
                <w:color w:val="000000" w:themeColor="text1" w:themeTint="FF" w:themeShade="FF"/>
                <w:sz w:val="20"/>
                <w:szCs w:val="20"/>
                <w:lang w:val="es-CO"/>
              </w:rPr>
              <w:t>2. Evaluación inclusiva y diversa</w:t>
            </w:r>
          </w:p>
        </w:tc>
        <w:tc>
          <w:tcPr>
            <w:cnfStyle w:val="000000000000" w:firstRow="0" w:lastRow="0" w:firstColumn="0" w:lastColumn="0" w:oddVBand="0" w:evenVBand="0" w:oddHBand="0" w:evenHBand="0" w:firstRowFirstColumn="0" w:firstRowLastColumn="0" w:lastRowFirstColumn="0" w:lastRowLastColumn="0"/>
            <w:tcW w:w="6519" w:type="dxa"/>
            <w:tcMar/>
          </w:tcPr>
          <w:p w:rsidR="627B0EF3" w:rsidP="627B0EF3" w:rsidRDefault="627B0EF3" w14:paraId="7DD003D1" w14:textId="0F284A55">
            <w:pPr>
              <w:jc w:val="both"/>
              <w:rPr>
                <w:rFonts w:ascii="Verdana" w:hAnsi="Verdana" w:eastAsia="Verdana" w:cs="Verdana"/>
                <w:b w:val="0"/>
                <w:bCs w:val="0"/>
                <w:i w:val="0"/>
                <w:iCs w:val="0"/>
                <w:color w:val="000000" w:themeColor="text1" w:themeTint="FF" w:themeShade="FF"/>
                <w:sz w:val="20"/>
                <w:szCs w:val="20"/>
              </w:rPr>
            </w:pPr>
            <w:r w:rsidRPr="627B0EF3" w:rsidR="627B0EF3">
              <w:rPr>
                <w:rFonts w:ascii="Verdana" w:hAnsi="Verdana" w:eastAsia="Verdana" w:cs="Verdana"/>
                <w:b w:val="0"/>
                <w:bCs w:val="0"/>
                <w:i w:val="0"/>
                <w:iCs w:val="0"/>
                <w:color w:val="000000" w:themeColor="text1" w:themeTint="FF" w:themeShade="FF"/>
                <w:sz w:val="20"/>
                <w:szCs w:val="20"/>
                <w:lang w:val="es-CO"/>
              </w:rPr>
              <w:t>Diseñar e implementar estrategias de evaluación, en condiciones de equidad, para grupos poblacionales diversos con el fin de minimizar las barreras en el acceso y el desempeño en las pruebas.  </w:t>
            </w:r>
          </w:p>
        </w:tc>
      </w:tr>
      <w:tr w:rsidR="627B0EF3" w:rsidTr="627B0EF3" w14:paraId="66AD5D1C">
        <w:trPr>
          <w:trHeight w:val="300"/>
        </w:trPr>
        <w:tc>
          <w:tcPr>
            <w:cnfStyle w:val="001000000000" w:firstRow="0" w:lastRow="0" w:firstColumn="1" w:lastColumn="0" w:oddVBand="0" w:evenVBand="0" w:oddHBand="0" w:evenHBand="0" w:firstRowFirstColumn="0" w:firstRowLastColumn="0" w:lastRowFirstColumn="0" w:lastRowLastColumn="0"/>
            <w:tcW w:w="2316" w:type="dxa"/>
            <w:tcMar/>
          </w:tcPr>
          <w:p w:rsidR="627B0EF3" w:rsidP="627B0EF3" w:rsidRDefault="627B0EF3" w14:paraId="31176966" w14:textId="5C1F2611">
            <w:pPr>
              <w:jc w:val="center"/>
              <w:rPr>
                <w:rFonts w:ascii="Verdana" w:hAnsi="Verdana" w:eastAsia="Verdana" w:cs="Verdana"/>
                <w:b w:val="1"/>
                <w:bCs w:val="1"/>
                <w:i w:val="0"/>
                <w:iCs w:val="0"/>
                <w:color w:val="000000" w:themeColor="text1" w:themeTint="FF" w:themeShade="FF"/>
                <w:sz w:val="20"/>
                <w:szCs w:val="20"/>
              </w:rPr>
            </w:pPr>
            <w:r w:rsidRPr="627B0EF3" w:rsidR="627B0EF3">
              <w:rPr>
                <w:rFonts w:ascii="Verdana" w:hAnsi="Verdana" w:eastAsia="Verdana" w:cs="Verdana"/>
                <w:b w:val="1"/>
                <w:bCs w:val="1"/>
                <w:i w:val="0"/>
                <w:iCs w:val="0"/>
                <w:color w:val="000000" w:themeColor="text1" w:themeTint="FF" w:themeShade="FF"/>
                <w:sz w:val="20"/>
                <w:szCs w:val="20"/>
                <w:lang w:val="es-CO"/>
              </w:rPr>
              <w:t>3. Nuevas tecnologías de evaluación</w:t>
            </w:r>
          </w:p>
        </w:tc>
        <w:tc>
          <w:tcPr>
            <w:cnfStyle w:val="000000000000" w:firstRow="0" w:lastRow="0" w:firstColumn="0" w:lastColumn="0" w:oddVBand="0" w:evenVBand="0" w:oddHBand="0" w:evenHBand="0" w:firstRowFirstColumn="0" w:firstRowLastColumn="0" w:lastRowFirstColumn="0" w:lastRowLastColumn="0"/>
            <w:tcW w:w="6519" w:type="dxa"/>
            <w:tcMar/>
          </w:tcPr>
          <w:p w:rsidR="627B0EF3" w:rsidP="627B0EF3" w:rsidRDefault="627B0EF3" w14:paraId="2FF9BA5C" w14:textId="477A43CF">
            <w:pPr>
              <w:jc w:val="both"/>
              <w:rPr>
                <w:rFonts w:ascii="Verdana" w:hAnsi="Verdana" w:eastAsia="Verdana" w:cs="Verdana"/>
                <w:b w:val="0"/>
                <w:bCs w:val="0"/>
                <w:i w:val="0"/>
                <w:iCs w:val="0"/>
                <w:color w:val="000000" w:themeColor="text1" w:themeTint="FF" w:themeShade="FF"/>
                <w:sz w:val="20"/>
                <w:szCs w:val="20"/>
              </w:rPr>
            </w:pPr>
            <w:r w:rsidRPr="627B0EF3" w:rsidR="627B0EF3">
              <w:rPr>
                <w:rFonts w:ascii="Verdana" w:hAnsi="Verdana" w:eastAsia="Verdana" w:cs="Verdana"/>
                <w:b w:val="0"/>
                <w:bCs w:val="0"/>
                <w:i w:val="0"/>
                <w:iCs w:val="0"/>
                <w:color w:val="000000" w:themeColor="text1" w:themeTint="FF" w:themeShade="FF"/>
                <w:sz w:val="20"/>
                <w:szCs w:val="20"/>
                <w:lang w:val="es-CO"/>
              </w:rPr>
              <w:t>Innovar con tecnologías de evaluación para el diseño, aplicación de pruebas y entrega de resultados.  </w:t>
            </w:r>
          </w:p>
        </w:tc>
      </w:tr>
      <w:tr w:rsidR="627B0EF3" w:rsidTr="627B0EF3" w14:paraId="5705F3AB">
        <w:trPr>
          <w:trHeight w:val="300"/>
        </w:trPr>
        <w:tc>
          <w:tcPr>
            <w:cnfStyle w:val="001000000000" w:firstRow="0" w:lastRow="0" w:firstColumn="1" w:lastColumn="0" w:oddVBand="0" w:evenVBand="0" w:oddHBand="0" w:evenHBand="0" w:firstRowFirstColumn="0" w:firstRowLastColumn="0" w:lastRowFirstColumn="0" w:lastRowLastColumn="0"/>
            <w:tcW w:w="2316" w:type="dxa"/>
            <w:tcMar/>
          </w:tcPr>
          <w:p w:rsidR="627B0EF3" w:rsidP="627B0EF3" w:rsidRDefault="627B0EF3" w14:paraId="17AC3C87" w14:textId="355A96A4">
            <w:pPr>
              <w:jc w:val="center"/>
              <w:rPr>
                <w:rFonts w:ascii="Verdana" w:hAnsi="Verdana" w:eastAsia="Verdana" w:cs="Verdana"/>
                <w:b w:val="1"/>
                <w:bCs w:val="1"/>
                <w:i w:val="0"/>
                <w:iCs w:val="0"/>
                <w:color w:val="000000" w:themeColor="text1" w:themeTint="FF" w:themeShade="FF"/>
                <w:sz w:val="20"/>
                <w:szCs w:val="20"/>
              </w:rPr>
            </w:pPr>
            <w:r w:rsidRPr="627B0EF3" w:rsidR="627B0EF3">
              <w:rPr>
                <w:rFonts w:ascii="Verdana" w:hAnsi="Verdana" w:eastAsia="Verdana" w:cs="Verdana"/>
                <w:b w:val="1"/>
                <w:bCs w:val="1"/>
                <w:i w:val="0"/>
                <w:iCs w:val="0"/>
                <w:color w:val="000000" w:themeColor="text1" w:themeTint="FF" w:themeShade="FF"/>
                <w:sz w:val="20"/>
                <w:szCs w:val="20"/>
                <w:lang w:val="es-CO"/>
              </w:rPr>
              <w:t>4. Metodologías de calificación y codificación</w:t>
            </w:r>
          </w:p>
        </w:tc>
        <w:tc>
          <w:tcPr>
            <w:cnfStyle w:val="000000000000" w:firstRow="0" w:lastRow="0" w:firstColumn="0" w:lastColumn="0" w:oddVBand="0" w:evenVBand="0" w:oddHBand="0" w:evenHBand="0" w:firstRowFirstColumn="0" w:firstRowLastColumn="0" w:lastRowFirstColumn="0" w:lastRowLastColumn="0"/>
            <w:tcW w:w="6519" w:type="dxa"/>
            <w:tcMar/>
          </w:tcPr>
          <w:p w:rsidR="627B0EF3" w:rsidP="627B0EF3" w:rsidRDefault="627B0EF3" w14:paraId="1C13F006" w14:textId="57CB9CC1">
            <w:pPr>
              <w:jc w:val="both"/>
              <w:rPr>
                <w:rFonts w:ascii="Verdana" w:hAnsi="Verdana" w:eastAsia="Verdana" w:cs="Verdana"/>
                <w:b w:val="0"/>
                <w:bCs w:val="0"/>
                <w:i w:val="0"/>
                <w:iCs w:val="0"/>
                <w:color w:val="000000" w:themeColor="text1" w:themeTint="FF" w:themeShade="FF"/>
                <w:sz w:val="20"/>
                <w:szCs w:val="20"/>
              </w:rPr>
            </w:pPr>
            <w:r w:rsidRPr="627B0EF3" w:rsidR="627B0EF3">
              <w:rPr>
                <w:rFonts w:ascii="Verdana" w:hAnsi="Verdana" w:eastAsia="Verdana" w:cs="Verdana"/>
                <w:b w:val="0"/>
                <w:bCs w:val="0"/>
                <w:i w:val="0"/>
                <w:iCs w:val="0"/>
                <w:color w:val="000000" w:themeColor="text1" w:themeTint="FF" w:themeShade="FF"/>
                <w:sz w:val="20"/>
                <w:szCs w:val="20"/>
                <w:lang w:val="es-CO"/>
              </w:rPr>
              <w:t>Implementar metodologías innovadoras de calificación y codificación que estén a la vanguardia en el ámbito de la evaluación.  </w:t>
            </w:r>
          </w:p>
        </w:tc>
      </w:tr>
      <w:tr w:rsidR="627B0EF3" w:rsidTr="627B0EF3" w14:paraId="4DC9D3F9">
        <w:trPr>
          <w:trHeight w:val="300"/>
        </w:trPr>
        <w:tc>
          <w:tcPr>
            <w:cnfStyle w:val="001000000000" w:firstRow="0" w:lastRow="0" w:firstColumn="1" w:lastColumn="0" w:oddVBand="0" w:evenVBand="0" w:oddHBand="0" w:evenHBand="0" w:firstRowFirstColumn="0" w:firstRowLastColumn="0" w:lastRowFirstColumn="0" w:lastRowLastColumn="0"/>
            <w:tcW w:w="2316" w:type="dxa"/>
            <w:tcMar/>
          </w:tcPr>
          <w:p w:rsidR="627B0EF3" w:rsidP="627B0EF3" w:rsidRDefault="627B0EF3" w14:paraId="0D7CC400" w14:textId="5177ADCA">
            <w:pPr>
              <w:jc w:val="center"/>
              <w:rPr>
                <w:rFonts w:ascii="Verdana" w:hAnsi="Verdana" w:eastAsia="Verdana" w:cs="Verdana"/>
                <w:b w:val="1"/>
                <w:bCs w:val="1"/>
                <w:i w:val="0"/>
                <w:iCs w:val="0"/>
                <w:color w:val="000000" w:themeColor="text1" w:themeTint="FF" w:themeShade="FF"/>
                <w:sz w:val="20"/>
                <w:szCs w:val="20"/>
              </w:rPr>
            </w:pPr>
            <w:r w:rsidRPr="627B0EF3" w:rsidR="627B0EF3">
              <w:rPr>
                <w:rFonts w:ascii="Verdana" w:hAnsi="Verdana" w:eastAsia="Verdana" w:cs="Verdana"/>
                <w:b w:val="1"/>
                <w:bCs w:val="1"/>
                <w:i w:val="0"/>
                <w:iCs w:val="0"/>
                <w:color w:val="000000" w:themeColor="text1" w:themeTint="FF" w:themeShade="FF"/>
                <w:sz w:val="20"/>
                <w:szCs w:val="20"/>
                <w:lang w:val="es-CO"/>
              </w:rPr>
              <w:t>5. Análisis de la calidad de las pruebas y los ítems</w:t>
            </w:r>
          </w:p>
        </w:tc>
        <w:tc>
          <w:tcPr>
            <w:cnfStyle w:val="000000000000" w:firstRow="0" w:lastRow="0" w:firstColumn="0" w:lastColumn="0" w:oddVBand="0" w:evenVBand="0" w:oddHBand="0" w:evenHBand="0" w:firstRowFirstColumn="0" w:firstRowLastColumn="0" w:lastRowFirstColumn="0" w:lastRowLastColumn="0"/>
            <w:tcW w:w="6519" w:type="dxa"/>
            <w:tcMar/>
          </w:tcPr>
          <w:p w:rsidR="627B0EF3" w:rsidP="627B0EF3" w:rsidRDefault="627B0EF3" w14:paraId="25923001" w14:textId="6A8125A7">
            <w:pPr>
              <w:pStyle w:val="Prrafodelista"/>
              <w:numPr>
                <w:ilvl w:val="0"/>
                <w:numId w:val="2"/>
              </w:numPr>
              <w:tabs>
                <w:tab w:val="left" w:leader="none" w:pos="324"/>
              </w:tabs>
              <w:ind w:left="143" w:firstLine="0"/>
              <w:jc w:val="both"/>
              <w:rPr>
                <w:rFonts w:ascii="Verdana" w:hAnsi="Verdana" w:eastAsia="Verdana" w:cs="Verdana"/>
                <w:b w:val="0"/>
                <w:bCs w:val="0"/>
                <w:i w:val="0"/>
                <w:iCs w:val="0"/>
                <w:color w:val="000000" w:themeColor="text1" w:themeTint="FF" w:themeShade="FF"/>
                <w:sz w:val="20"/>
                <w:szCs w:val="20"/>
              </w:rPr>
            </w:pPr>
            <w:r w:rsidRPr="627B0EF3" w:rsidR="627B0EF3">
              <w:rPr>
                <w:rFonts w:ascii="Verdana" w:hAnsi="Verdana" w:eastAsia="Verdana" w:cs="Verdana"/>
                <w:b w:val="0"/>
                <w:bCs w:val="0"/>
                <w:i w:val="0"/>
                <w:iCs w:val="0"/>
                <w:color w:val="000000" w:themeColor="text1" w:themeTint="FF" w:themeShade="FF"/>
                <w:sz w:val="20"/>
                <w:szCs w:val="20"/>
                <w:lang w:val="es-CO"/>
              </w:rPr>
              <w:t>Determinar cómo evaluar de manera adecuada la validez de las pruebas en cuanto a su contenido, proceso de respuesta, estructura interna, relación con otras variables y consecuencias de uso.  </w:t>
            </w:r>
          </w:p>
          <w:p w:rsidR="627B0EF3" w:rsidP="627B0EF3" w:rsidRDefault="627B0EF3" w14:paraId="3EAF9092" w14:textId="2CBB8D08">
            <w:pPr>
              <w:pStyle w:val="Prrafodelista"/>
              <w:numPr>
                <w:ilvl w:val="0"/>
                <w:numId w:val="2"/>
              </w:numPr>
              <w:tabs>
                <w:tab w:val="left" w:leader="none" w:pos="324"/>
              </w:tabs>
              <w:ind w:left="143" w:firstLine="0"/>
              <w:jc w:val="both"/>
              <w:rPr>
                <w:rFonts w:ascii="Verdana" w:hAnsi="Verdana" w:eastAsia="Verdana" w:cs="Verdana"/>
                <w:b w:val="0"/>
                <w:bCs w:val="0"/>
                <w:i w:val="0"/>
                <w:iCs w:val="0"/>
                <w:color w:val="000000" w:themeColor="text1" w:themeTint="FF" w:themeShade="FF"/>
                <w:sz w:val="20"/>
                <w:szCs w:val="20"/>
              </w:rPr>
            </w:pPr>
            <w:r w:rsidRPr="627B0EF3" w:rsidR="627B0EF3">
              <w:rPr>
                <w:rFonts w:ascii="Verdana" w:hAnsi="Verdana" w:eastAsia="Verdana" w:cs="Verdana"/>
                <w:b w:val="0"/>
                <w:bCs w:val="0"/>
                <w:i w:val="0"/>
                <w:iCs w:val="0"/>
                <w:color w:val="000000" w:themeColor="text1" w:themeTint="FF" w:themeShade="FF"/>
                <w:sz w:val="20"/>
                <w:szCs w:val="20"/>
                <w:lang w:val="es-CO"/>
              </w:rPr>
              <w:t>Definir los métodos que permitan analizar, de forma precisa, el comportamiento psicométrico de los ítems en las pruebas. </w:t>
            </w:r>
          </w:p>
        </w:tc>
      </w:tr>
      <w:tr w:rsidR="627B0EF3" w:rsidTr="627B0EF3" w14:paraId="326A4C51">
        <w:trPr>
          <w:trHeight w:val="300"/>
        </w:trPr>
        <w:tc>
          <w:tcPr>
            <w:cnfStyle w:val="001000000000" w:firstRow="0" w:lastRow="0" w:firstColumn="1" w:lastColumn="0" w:oddVBand="0" w:evenVBand="0" w:oddHBand="0" w:evenHBand="0" w:firstRowFirstColumn="0" w:firstRowLastColumn="0" w:lastRowFirstColumn="0" w:lastRowLastColumn="0"/>
            <w:tcW w:w="2316" w:type="dxa"/>
            <w:tcMar/>
          </w:tcPr>
          <w:p w:rsidR="627B0EF3" w:rsidP="627B0EF3" w:rsidRDefault="627B0EF3" w14:paraId="2B46EBA2" w14:textId="2476603D">
            <w:pPr>
              <w:jc w:val="center"/>
              <w:rPr>
                <w:rFonts w:ascii="Verdana" w:hAnsi="Verdana" w:eastAsia="Verdana" w:cs="Verdana"/>
                <w:b w:val="1"/>
                <w:bCs w:val="1"/>
                <w:i w:val="0"/>
                <w:iCs w:val="0"/>
                <w:color w:val="000000" w:themeColor="text1" w:themeTint="FF" w:themeShade="FF"/>
                <w:sz w:val="20"/>
                <w:szCs w:val="20"/>
              </w:rPr>
            </w:pPr>
            <w:r w:rsidRPr="627B0EF3" w:rsidR="627B0EF3">
              <w:rPr>
                <w:rFonts w:ascii="Verdana" w:hAnsi="Verdana" w:eastAsia="Verdana" w:cs="Verdana"/>
                <w:b w:val="1"/>
                <w:bCs w:val="1"/>
                <w:i w:val="0"/>
                <w:iCs w:val="0"/>
                <w:color w:val="000000" w:themeColor="text1" w:themeTint="FF" w:themeShade="FF"/>
                <w:sz w:val="20"/>
                <w:szCs w:val="20"/>
                <w:lang w:val="es-CO"/>
              </w:rPr>
              <w:t>6. Factores asociados al aprendizaje</w:t>
            </w:r>
          </w:p>
        </w:tc>
        <w:tc>
          <w:tcPr>
            <w:cnfStyle w:val="000000000000" w:firstRow="0" w:lastRow="0" w:firstColumn="0" w:lastColumn="0" w:oddVBand="0" w:evenVBand="0" w:oddHBand="0" w:evenHBand="0" w:firstRowFirstColumn="0" w:firstRowLastColumn="0" w:lastRowFirstColumn="0" w:lastRowLastColumn="0"/>
            <w:tcW w:w="6519" w:type="dxa"/>
            <w:tcMar/>
          </w:tcPr>
          <w:p w:rsidR="627B0EF3" w:rsidP="627B0EF3" w:rsidRDefault="627B0EF3" w14:paraId="12FF3D58" w14:textId="7D234403">
            <w:pPr>
              <w:jc w:val="both"/>
              <w:rPr>
                <w:rFonts w:ascii="Verdana" w:hAnsi="Verdana" w:eastAsia="Verdana" w:cs="Verdana"/>
                <w:b w:val="0"/>
                <w:bCs w:val="0"/>
                <w:i w:val="0"/>
                <w:iCs w:val="0"/>
                <w:color w:val="000000" w:themeColor="text1" w:themeTint="FF" w:themeShade="FF"/>
                <w:sz w:val="20"/>
                <w:szCs w:val="20"/>
              </w:rPr>
            </w:pPr>
            <w:r w:rsidRPr="627B0EF3" w:rsidR="627B0EF3">
              <w:rPr>
                <w:rFonts w:ascii="Verdana" w:hAnsi="Verdana" w:eastAsia="Verdana" w:cs="Verdana"/>
                <w:b w:val="0"/>
                <w:bCs w:val="0"/>
                <w:i w:val="0"/>
                <w:iCs w:val="0"/>
                <w:color w:val="000000" w:themeColor="text1" w:themeTint="FF" w:themeShade="FF"/>
                <w:sz w:val="20"/>
                <w:szCs w:val="20"/>
                <w:lang w:val="es-CO"/>
              </w:rPr>
              <w:t>Identificar los factores individuales, familiares, de aula, institucionales y/o contextuales que están asociados a los resultados de aprendizaje de los estudiantes, medidos por medio de las pruebas. Estos estudios analizan uno o más de estos factores en diferentes niveles:  </w:t>
            </w:r>
          </w:p>
          <w:p w:rsidR="627B0EF3" w:rsidP="627B0EF3" w:rsidRDefault="627B0EF3" w14:paraId="415118B3" w14:textId="0EA8AD6A">
            <w:pPr>
              <w:pStyle w:val="Prrafodelista"/>
              <w:numPr>
                <w:ilvl w:val="0"/>
                <w:numId w:val="2"/>
              </w:numPr>
              <w:tabs>
                <w:tab w:val="left" w:leader="none" w:pos="324"/>
              </w:tabs>
              <w:ind w:left="143" w:firstLine="0"/>
              <w:jc w:val="both"/>
              <w:rPr>
                <w:rFonts w:ascii="Verdana" w:hAnsi="Verdana" w:eastAsia="Verdana" w:cs="Verdana"/>
                <w:b w:val="0"/>
                <w:bCs w:val="0"/>
                <w:i w:val="0"/>
                <w:iCs w:val="0"/>
                <w:color w:val="000000" w:themeColor="text1" w:themeTint="FF" w:themeShade="FF"/>
                <w:sz w:val="20"/>
                <w:szCs w:val="20"/>
              </w:rPr>
            </w:pPr>
            <w:r w:rsidRPr="627B0EF3" w:rsidR="627B0EF3">
              <w:rPr>
                <w:rFonts w:ascii="Verdana" w:hAnsi="Verdana" w:eastAsia="Verdana" w:cs="Verdana"/>
                <w:b w:val="0"/>
                <w:bCs w:val="0"/>
                <w:i w:val="0"/>
                <w:iCs w:val="0"/>
                <w:color w:val="000000" w:themeColor="text1" w:themeTint="FF" w:themeShade="FF"/>
                <w:sz w:val="20"/>
                <w:szCs w:val="20"/>
                <w:lang w:val="es-CO"/>
              </w:rPr>
              <w:t>Nivel individual: características del estudiante y su familia.  </w:t>
            </w:r>
          </w:p>
          <w:p w:rsidR="627B0EF3" w:rsidP="627B0EF3" w:rsidRDefault="627B0EF3" w14:paraId="221158AE" w14:textId="79F275D8">
            <w:pPr>
              <w:pStyle w:val="Prrafodelista"/>
              <w:numPr>
                <w:ilvl w:val="0"/>
                <w:numId w:val="2"/>
              </w:numPr>
              <w:tabs>
                <w:tab w:val="left" w:leader="none" w:pos="324"/>
              </w:tabs>
              <w:ind w:left="143" w:firstLine="0"/>
              <w:jc w:val="both"/>
              <w:rPr>
                <w:rFonts w:ascii="Verdana" w:hAnsi="Verdana" w:eastAsia="Verdana" w:cs="Verdana"/>
                <w:b w:val="0"/>
                <w:bCs w:val="0"/>
                <w:i w:val="0"/>
                <w:iCs w:val="0"/>
                <w:color w:val="000000" w:themeColor="text1" w:themeTint="FF" w:themeShade="FF"/>
                <w:sz w:val="20"/>
                <w:szCs w:val="20"/>
              </w:rPr>
            </w:pPr>
            <w:r w:rsidRPr="627B0EF3" w:rsidR="627B0EF3">
              <w:rPr>
                <w:rFonts w:ascii="Verdana" w:hAnsi="Verdana" w:eastAsia="Verdana" w:cs="Verdana"/>
                <w:b w:val="0"/>
                <w:bCs w:val="0"/>
                <w:i w:val="0"/>
                <w:iCs w:val="0"/>
                <w:color w:val="000000" w:themeColor="text1" w:themeTint="FF" w:themeShade="FF"/>
                <w:sz w:val="20"/>
                <w:szCs w:val="20"/>
                <w:lang w:val="es-CO"/>
              </w:rPr>
              <w:t>Nivel de aula: características de los docentes, las prácticas pedagógicas, las interacciones en el salón de clase, la tasa docente-alumno, efectos de pares, el tiempo de instrucción, entre otros.  </w:t>
            </w:r>
          </w:p>
          <w:p w:rsidR="627B0EF3" w:rsidP="627B0EF3" w:rsidRDefault="627B0EF3" w14:paraId="00DD6A68" w14:textId="59F210DF">
            <w:pPr>
              <w:pStyle w:val="Prrafodelista"/>
              <w:numPr>
                <w:ilvl w:val="0"/>
                <w:numId w:val="2"/>
              </w:numPr>
              <w:tabs>
                <w:tab w:val="left" w:leader="none" w:pos="324"/>
              </w:tabs>
              <w:ind w:left="143" w:firstLine="0"/>
              <w:jc w:val="both"/>
              <w:rPr>
                <w:rFonts w:ascii="Verdana" w:hAnsi="Verdana" w:eastAsia="Verdana" w:cs="Verdana"/>
                <w:b w:val="0"/>
                <w:bCs w:val="0"/>
                <w:i w:val="0"/>
                <w:iCs w:val="0"/>
                <w:color w:val="000000" w:themeColor="text1" w:themeTint="FF" w:themeShade="FF"/>
                <w:sz w:val="20"/>
                <w:szCs w:val="20"/>
              </w:rPr>
            </w:pPr>
            <w:r w:rsidRPr="627B0EF3" w:rsidR="627B0EF3">
              <w:rPr>
                <w:rFonts w:ascii="Verdana" w:hAnsi="Verdana" w:eastAsia="Verdana" w:cs="Verdana"/>
                <w:b w:val="0"/>
                <w:bCs w:val="0"/>
                <w:i w:val="0"/>
                <w:iCs w:val="0"/>
                <w:color w:val="000000" w:themeColor="text1" w:themeTint="FF" w:themeShade="FF"/>
                <w:sz w:val="20"/>
                <w:szCs w:val="20"/>
                <w:lang w:val="es-CO"/>
              </w:rPr>
              <w:t>Nivel institucional: características de la institución educativa, el Proyecto Educativo Institucional, currículo, liderazgo del rector, el clima escolar, el entorno inmediato al establecimiento, entre otros.  </w:t>
            </w:r>
          </w:p>
          <w:p w:rsidR="627B0EF3" w:rsidP="627B0EF3" w:rsidRDefault="627B0EF3" w14:paraId="3228CA94" w14:textId="49D0404E">
            <w:pPr>
              <w:pStyle w:val="Prrafodelista"/>
              <w:numPr>
                <w:ilvl w:val="0"/>
                <w:numId w:val="2"/>
              </w:numPr>
              <w:tabs>
                <w:tab w:val="left" w:leader="none" w:pos="324"/>
              </w:tabs>
              <w:ind w:left="143" w:firstLine="0"/>
              <w:jc w:val="both"/>
              <w:rPr>
                <w:rFonts w:ascii="Verdana" w:hAnsi="Verdana" w:eastAsia="Verdana" w:cs="Verdana"/>
                <w:b w:val="0"/>
                <w:bCs w:val="0"/>
                <w:i w:val="0"/>
                <w:iCs w:val="0"/>
                <w:color w:val="000000" w:themeColor="text1" w:themeTint="FF" w:themeShade="FF"/>
                <w:sz w:val="20"/>
                <w:szCs w:val="20"/>
              </w:rPr>
            </w:pPr>
            <w:r w:rsidRPr="627B0EF3" w:rsidR="627B0EF3">
              <w:rPr>
                <w:rFonts w:ascii="Verdana" w:hAnsi="Verdana" w:eastAsia="Verdana" w:cs="Verdana"/>
                <w:b w:val="0"/>
                <w:bCs w:val="0"/>
                <w:i w:val="0"/>
                <w:iCs w:val="0"/>
                <w:color w:val="000000" w:themeColor="text1" w:themeTint="FF" w:themeShade="FF"/>
                <w:sz w:val="20"/>
                <w:szCs w:val="20"/>
                <w:lang w:val="es-CO"/>
              </w:rPr>
              <w:t>Nivel de sistema: características de la estructura y funcionamiento del sistema educativo, programas y estrategias de políticas nacionales, entre otras.  </w:t>
            </w:r>
          </w:p>
          <w:p w:rsidR="627B0EF3" w:rsidP="627B0EF3" w:rsidRDefault="627B0EF3" w14:paraId="24348054" w14:textId="3D5DF163">
            <w:pPr>
              <w:pStyle w:val="Prrafodelista"/>
              <w:numPr>
                <w:ilvl w:val="0"/>
                <w:numId w:val="2"/>
              </w:numPr>
              <w:tabs>
                <w:tab w:val="left" w:leader="none" w:pos="324"/>
              </w:tabs>
              <w:ind w:left="143" w:firstLine="0"/>
              <w:jc w:val="both"/>
              <w:rPr>
                <w:rFonts w:ascii="Verdana" w:hAnsi="Verdana" w:eastAsia="Verdana" w:cs="Verdana"/>
                <w:b w:val="0"/>
                <w:bCs w:val="0"/>
                <w:i w:val="0"/>
                <w:iCs w:val="0"/>
                <w:sz w:val="20"/>
                <w:szCs w:val="20"/>
              </w:rPr>
            </w:pPr>
            <w:r w:rsidRPr="627B0EF3" w:rsidR="627B0EF3">
              <w:rPr>
                <w:rFonts w:ascii="Verdana" w:hAnsi="Verdana" w:eastAsia="Verdana" w:cs="Verdana"/>
                <w:b w:val="0"/>
                <w:bCs w:val="0"/>
                <w:i w:val="0"/>
                <w:iCs w:val="0"/>
                <w:color w:val="000000" w:themeColor="text1" w:themeTint="FF" w:themeShade="FF"/>
                <w:sz w:val="20"/>
                <w:szCs w:val="20"/>
                <w:lang w:val="es-CO"/>
              </w:rPr>
              <w:t>Nivel de contexto: migración, conflicto, pandemia, entre otros factores.</w:t>
            </w:r>
            <w:r w:rsidRPr="627B0EF3" w:rsidR="627B0EF3">
              <w:rPr>
                <w:rFonts w:ascii="Verdana" w:hAnsi="Verdana" w:eastAsia="Verdana" w:cs="Verdana"/>
                <w:b w:val="0"/>
                <w:bCs w:val="0"/>
                <w:i w:val="0"/>
                <w:iCs w:val="0"/>
                <w:sz w:val="20"/>
                <w:szCs w:val="20"/>
                <w:lang w:val="es-CO"/>
              </w:rPr>
              <w:t> </w:t>
            </w:r>
          </w:p>
        </w:tc>
      </w:tr>
      <w:tr w:rsidR="627B0EF3" w:rsidTr="627B0EF3" w14:paraId="6490F036">
        <w:trPr>
          <w:trHeight w:val="300"/>
        </w:trPr>
        <w:tc>
          <w:tcPr>
            <w:cnfStyle w:val="001000000000" w:firstRow="0" w:lastRow="0" w:firstColumn="1" w:lastColumn="0" w:oddVBand="0" w:evenVBand="0" w:oddHBand="0" w:evenHBand="0" w:firstRowFirstColumn="0" w:firstRowLastColumn="0" w:lastRowFirstColumn="0" w:lastRowLastColumn="0"/>
            <w:tcW w:w="2316" w:type="dxa"/>
            <w:tcMar/>
          </w:tcPr>
          <w:p w:rsidR="627B0EF3" w:rsidP="627B0EF3" w:rsidRDefault="627B0EF3" w14:paraId="330B475D" w14:textId="4FA4291B">
            <w:pPr>
              <w:jc w:val="center"/>
              <w:rPr>
                <w:rFonts w:ascii="Verdana" w:hAnsi="Verdana" w:eastAsia="Verdana" w:cs="Verdana"/>
                <w:b w:val="1"/>
                <w:bCs w:val="1"/>
                <w:i w:val="0"/>
                <w:iCs w:val="0"/>
                <w:color w:val="000000" w:themeColor="text1" w:themeTint="FF" w:themeShade="FF"/>
                <w:sz w:val="20"/>
                <w:szCs w:val="20"/>
              </w:rPr>
            </w:pPr>
            <w:r w:rsidRPr="627B0EF3" w:rsidR="627B0EF3">
              <w:rPr>
                <w:rFonts w:ascii="Verdana" w:hAnsi="Verdana" w:eastAsia="Verdana" w:cs="Verdana"/>
                <w:b w:val="1"/>
                <w:bCs w:val="1"/>
                <w:i w:val="0"/>
                <w:iCs w:val="0"/>
                <w:color w:val="000000" w:themeColor="text1" w:themeTint="FF" w:themeShade="FF"/>
                <w:sz w:val="20"/>
                <w:szCs w:val="20"/>
                <w:lang w:val="es-CO"/>
              </w:rPr>
              <w:t>7. Trayectorias educativas y curso de vida</w:t>
            </w:r>
          </w:p>
        </w:tc>
        <w:tc>
          <w:tcPr>
            <w:cnfStyle w:val="000000000000" w:firstRow="0" w:lastRow="0" w:firstColumn="0" w:lastColumn="0" w:oddVBand="0" w:evenVBand="0" w:oddHBand="0" w:evenHBand="0" w:firstRowFirstColumn="0" w:firstRowLastColumn="0" w:lastRowFirstColumn="0" w:lastRowLastColumn="0"/>
            <w:tcW w:w="6519" w:type="dxa"/>
            <w:tcMar/>
          </w:tcPr>
          <w:p w:rsidR="627B0EF3" w:rsidP="627B0EF3" w:rsidRDefault="627B0EF3" w14:paraId="06EB86B3" w14:textId="26CBDA9B">
            <w:pPr>
              <w:jc w:val="both"/>
              <w:rPr>
                <w:rFonts w:ascii="Verdana" w:hAnsi="Verdana" w:eastAsia="Verdana" w:cs="Verdana"/>
                <w:b w:val="0"/>
                <w:bCs w:val="0"/>
                <w:i w:val="0"/>
                <w:iCs w:val="0"/>
                <w:color w:val="000000" w:themeColor="text1" w:themeTint="FF" w:themeShade="FF"/>
                <w:sz w:val="20"/>
                <w:szCs w:val="20"/>
              </w:rPr>
            </w:pPr>
            <w:r w:rsidRPr="627B0EF3" w:rsidR="627B0EF3">
              <w:rPr>
                <w:rFonts w:ascii="Verdana" w:hAnsi="Verdana" w:eastAsia="Verdana" w:cs="Verdana"/>
                <w:b w:val="0"/>
                <w:bCs w:val="0"/>
                <w:i w:val="0"/>
                <w:iCs w:val="0"/>
                <w:color w:val="000000" w:themeColor="text1" w:themeTint="FF" w:themeShade="FF"/>
                <w:sz w:val="20"/>
                <w:szCs w:val="20"/>
                <w:lang w:val="es-CO"/>
              </w:rPr>
              <w:t>En esta línea se inscriben las investigaciones que examinan la relación entre los resultados de aprendizaje y otros hitos en la trayectoria educativa y el curso de vida de las personas. Su propósito es comprender cómo los resultados de aprendizaje impactan no solo la permanencia y el progreso dentro del sistema educativo, sino también el acceso a oportunidades económicas, el bienestar individual y la participación social. En esta línea se ubican también los estudios que identifican los factores que facilitan o limitan el tránsito por el sistema educativo y sus repercusiones en distintos ámbitos de la vida. Analizan en qué medida los resultados de aprendizaje se asocian con:</w:t>
            </w:r>
          </w:p>
          <w:p w:rsidR="627B0EF3" w:rsidP="627B0EF3" w:rsidRDefault="627B0EF3" w14:paraId="12B1FD6F" w14:textId="6441E608">
            <w:pPr>
              <w:pStyle w:val="Prrafodelista"/>
              <w:numPr>
                <w:ilvl w:val="0"/>
                <w:numId w:val="2"/>
              </w:numPr>
              <w:tabs>
                <w:tab w:val="left" w:leader="none" w:pos="324"/>
              </w:tabs>
              <w:ind w:left="143" w:firstLine="0"/>
              <w:jc w:val="both"/>
              <w:rPr>
                <w:rFonts w:ascii="Verdana" w:hAnsi="Verdana" w:eastAsia="Verdana" w:cs="Verdana"/>
                <w:b w:val="0"/>
                <w:bCs w:val="0"/>
                <w:i w:val="0"/>
                <w:iCs w:val="0"/>
                <w:color w:val="000000" w:themeColor="text1" w:themeTint="FF" w:themeShade="FF"/>
                <w:sz w:val="20"/>
                <w:szCs w:val="20"/>
              </w:rPr>
            </w:pPr>
            <w:r w:rsidRPr="627B0EF3" w:rsidR="627B0EF3">
              <w:rPr>
                <w:rFonts w:ascii="Verdana" w:hAnsi="Verdana" w:eastAsia="Verdana" w:cs="Verdana"/>
                <w:b w:val="0"/>
                <w:bCs w:val="0"/>
                <w:i w:val="0"/>
                <w:iCs w:val="0"/>
                <w:color w:val="000000" w:themeColor="text1" w:themeTint="FF" w:themeShade="FF"/>
                <w:sz w:val="20"/>
                <w:szCs w:val="20"/>
                <w:lang w:val="es-CO"/>
              </w:rPr>
              <w:t>Otros resultados educativos (p.ej., acceso a la educación superior o deserción o rezago escolar). </w:t>
            </w:r>
          </w:p>
          <w:p w:rsidR="627B0EF3" w:rsidP="627B0EF3" w:rsidRDefault="627B0EF3" w14:paraId="4284CC8C" w14:textId="6B1C3C50">
            <w:pPr>
              <w:pStyle w:val="Prrafodelista"/>
              <w:numPr>
                <w:ilvl w:val="0"/>
                <w:numId w:val="2"/>
              </w:numPr>
              <w:tabs>
                <w:tab w:val="left" w:leader="none" w:pos="324"/>
              </w:tabs>
              <w:ind w:left="143" w:firstLine="0"/>
              <w:jc w:val="both"/>
              <w:rPr>
                <w:rFonts w:ascii="Verdana" w:hAnsi="Verdana" w:eastAsia="Verdana" w:cs="Verdana"/>
                <w:b w:val="0"/>
                <w:bCs w:val="0"/>
                <w:i w:val="0"/>
                <w:iCs w:val="0"/>
                <w:color w:val="000000" w:themeColor="text1" w:themeTint="FF" w:themeShade="FF"/>
                <w:sz w:val="20"/>
                <w:szCs w:val="20"/>
              </w:rPr>
            </w:pPr>
            <w:r w:rsidRPr="627B0EF3" w:rsidR="627B0EF3">
              <w:rPr>
                <w:rFonts w:ascii="Verdana" w:hAnsi="Verdana" w:eastAsia="Verdana" w:cs="Verdana"/>
                <w:b w:val="0"/>
                <w:bCs w:val="0"/>
                <w:i w:val="0"/>
                <w:iCs w:val="0"/>
                <w:color w:val="000000" w:themeColor="text1" w:themeTint="FF" w:themeShade="FF"/>
                <w:sz w:val="20"/>
                <w:szCs w:val="20"/>
                <w:lang w:val="es-CO"/>
              </w:rPr>
              <w:t>Factores individuales, institucionales o contextuales relacionados con los tránsitos entre los niveles educativos y sus efectos en el curso de vida (ej: cómo inciden el género, la pertinencia étnico-racial, la discapacidad, el origen socioeconómico o la ruralidad las transiciones y trayectorias)</w:t>
            </w:r>
          </w:p>
          <w:p w:rsidR="627B0EF3" w:rsidP="627B0EF3" w:rsidRDefault="627B0EF3" w14:paraId="0E86DCB1" w14:textId="2A741425">
            <w:pPr>
              <w:pStyle w:val="Prrafodelista"/>
              <w:numPr>
                <w:ilvl w:val="0"/>
                <w:numId w:val="2"/>
              </w:numPr>
              <w:tabs>
                <w:tab w:val="left" w:leader="none" w:pos="324"/>
              </w:tabs>
              <w:ind w:left="143" w:firstLine="0"/>
              <w:jc w:val="both"/>
              <w:rPr>
                <w:rFonts w:ascii="Verdana" w:hAnsi="Verdana" w:eastAsia="Verdana" w:cs="Verdana"/>
                <w:b w:val="0"/>
                <w:bCs w:val="0"/>
                <w:i w:val="0"/>
                <w:iCs w:val="0"/>
                <w:color w:val="000000" w:themeColor="text1" w:themeTint="FF" w:themeShade="FF"/>
                <w:sz w:val="20"/>
                <w:szCs w:val="20"/>
              </w:rPr>
            </w:pPr>
            <w:r w:rsidRPr="627B0EF3" w:rsidR="627B0EF3">
              <w:rPr>
                <w:rFonts w:ascii="Verdana" w:hAnsi="Verdana" w:eastAsia="Verdana" w:cs="Verdana"/>
                <w:b w:val="0"/>
                <w:bCs w:val="0"/>
                <w:i w:val="0"/>
                <w:iCs w:val="0"/>
                <w:color w:val="000000" w:themeColor="text1" w:themeTint="FF" w:themeShade="FF"/>
                <w:sz w:val="20"/>
                <w:szCs w:val="20"/>
                <w:lang w:val="es-CO"/>
              </w:rPr>
              <w:t>Otros logros en el curso de vida (por ej., ingresos, empleabilidad, área de ocupación, indicadores de salud y bienestar, participación ciudadana, entre otros). </w:t>
            </w:r>
          </w:p>
        </w:tc>
      </w:tr>
      <w:tr w:rsidR="627B0EF3" w:rsidTr="627B0EF3" w14:paraId="266CF8E1">
        <w:trPr>
          <w:trHeight w:val="300"/>
        </w:trPr>
        <w:tc>
          <w:tcPr>
            <w:cnfStyle w:val="001000000000" w:firstRow="0" w:lastRow="0" w:firstColumn="1" w:lastColumn="0" w:oddVBand="0" w:evenVBand="0" w:oddHBand="0" w:evenHBand="0" w:firstRowFirstColumn="0" w:firstRowLastColumn="0" w:lastRowFirstColumn="0" w:lastRowLastColumn="0"/>
            <w:tcW w:w="2316" w:type="dxa"/>
            <w:tcMar/>
          </w:tcPr>
          <w:p w:rsidR="627B0EF3" w:rsidP="627B0EF3" w:rsidRDefault="627B0EF3" w14:paraId="69C97DD3" w14:textId="6A935405">
            <w:pPr>
              <w:jc w:val="center"/>
              <w:rPr>
                <w:rFonts w:ascii="Verdana" w:hAnsi="Verdana" w:eastAsia="Verdana" w:cs="Verdana"/>
                <w:b w:val="1"/>
                <w:bCs w:val="1"/>
                <w:i w:val="0"/>
                <w:iCs w:val="0"/>
                <w:color w:val="000000" w:themeColor="text1" w:themeTint="FF" w:themeShade="FF"/>
                <w:sz w:val="20"/>
                <w:szCs w:val="20"/>
              </w:rPr>
            </w:pPr>
            <w:r w:rsidRPr="627B0EF3" w:rsidR="627B0EF3">
              <w:rPr>
                <w:rFonts w:ascii="Verdana" w:hAnsi="Verdana" w:eastAsia="Verdana" w:cs="Verdana"/>
                <w:b w:val="1"/>
                <w:bCs w:val="1"/>
                <w:i w:val="0"/>
                <w:iCs w:val="0"/>
                <w:color w:val="000000" w:themeColor="text1" w:themeTint="FF" w:themeShade="FF"/>
                <w:sz w:val="20"/>
                <w:szCs w:val="20"/>
                <w:lang w:val="es-CO"/>
              </w:rPr>
              <w:t>8. Apropiación social de la evaluación</w:t>
            </w:r>
          </w:p>
        </w:tc>
        <w:tc>
          <w:tcPr>
            <w:cnfStyle w:val="000000000000" w:firstRow="0" w:lastRow="0" w:firstColumn="0" w:lastColumn="0" w:oddVBand="0" w:evenVBand="0" w:oddHBand="0" w:evenHBand="0" w:firstRowFirstColumn="0" w:firstRowLastColumn="0" w:lastRowFirstColumn="0" w:lastRowLastColumn="0"/>
            <w:tcW w:w="6519" w:type="dxa"/>
            <w:tcMar/>
          </w:tcPr>
          <w:p w:rsidR="627B0EF3" w:rsidP="627B0EF3" w:rsidRDefault="627B0EF3" w14:paraId="375AA1CC" w14:textId="0B40A54D">
            <w:pPr>
              <w:tabs>
                <w:tab w:val="left" w:leader="none" w:pos="324"/>
              </w:tabs>
              <w:ind w:left="143" w:firstLine="0"/>
              <w:jc w:val="both"/>
              <w:rPr>
                <w:rFonts w:ascii="Verdana" w:hAnsi="Verdana" w:eastAsia="Verdana" w:cs="Verdana"/>
                <w:b w:val="0"/>
                <w:bCs w:val="0"/>
                <w:i w:val="0"/>
                <w:iCs w:val="0"/>
                <w:color w:val="000000" w:themeColor="text1" w:themeTint="FF" w:themeShade="FF"/>
                <w:sz w:val="20"/>
                <w:szCs w:val="20"/>
              </w:rPr>
            </w:pPr>
            <w:r w:rsidRPr="627B0EF3" w:rsidR="627B0EF3">
              <w:rPr>
                <w:rFonts w:ascii="Verdana" w:hAnsi="Verdana" w:eastAsia="Verdana" w:cs="Verdana"/>
                <w:b w:val="0"/>
                <w:bCs w:val="0"/>
                <w:i w:val="0"/>
                <w:iCs w:val="0"/>
                <w:color w:val="000000" w:themeColor="text1" w:themeTint="FF" w:themeShade="FF"/>
                <w:sz w:val="20"/>
                <w:szCs w:val="20"/>
                <w:lang w:val="es-ES"/>
              </w:rPr>
              <w:t>En esta línea se inscriben las investigaciones que buscan comprender cómo las evaluaciones contribuyen al mejoramiento de la calidad educativa, cómo son interpretadas y utilizadas por los diferentes actores del sistema educativo, y qué consecuencias generan en las dinámicas del sector. Sus principales objetivos son:</w:t>
            </w:r>
          </w:p>
          <w:p w:rsidR="627B0EF3" w:rsidP="627B0EF3" w:rsidRDefault="627B0EF3" w14:paraId="51B207FF" w14:textId="41AA2E3E">
            <w:pPr>
              <w:pStyle w:val="Prrafodelista"/>
              <w:numPr>
                <w:ilvl w:val="0"/>
                <w:numId w:val="2"/>
              </w:numPr>
              <w:tabs>
                <w:tab w:val="left" w:leader="none" w:pos="324"/>
              </w:tabs>
              <w:ind w:left="143" w:firstLine="0"/>
              <w:jc w:val="both"/>
              <w:rPr>
                <w:rFonts w:ascii="Verdana" w:hAnsi="Verdana" w:eastAsia="Verdana" w:cs="Verdana"/>
                <w:b w:val="0"/>
                <w:bCs w:val="0"/>
                <w:i w:val="0"/>
                <w:iCs w:val="0"/>
                <w:color w:val="000000" w:themeColor="text1" w:themeTint="FF" w:themeShade="FF"/>
                <w:sz w:val="20"/>
                <w:szCs w:val="20"/>
              </w:rPr>
            </w:pPr>
            <w:r w:rsidRPr="627B0EF3" w:rsidR="627B0EF3">
              <w:rPr>
                <w:rFonts w:ascii="Verdana" w:hAnsi="Verdana" w:eastAsia="Verdana" w:cs="Verdana"/>
                <w:b w:val="0"/>
                <w:bCs w:val="0"/>
                <w:i w:val="0"/>
                <w:iCs w:val="0"/>
                <w:color w:val="000000" w:themeColor="text1" w:themeTint="FF" w:themeShade="FF"/>
                <w:sz w:val="20"/>
                <w:szCs w:val="20"/>
                <w:lang w:val="es-CO"/>
              </w:rPr>
              <w:t>Explorar la percepción sobre la evaluación e identificar el uso que se les da a las pruebas para el mejoramiento de la calidad educativa (ej: uso de los resultados para mejorar las prácticas pedagógicas, uso de los resultados para formular y evaluar las políticas educativas) </w:t>
            </w:r>
          </w:p>
          <w:p w:rsidR="627B0EF3" w:rsidP="627B0EF3" w:rsidRDefault="627B0EF3" w14:paraId="56FF176F" w14:textId="152C3853">
            <w:pPr>
              <w:pStyle w:val="Prrafodelista"/>
              <w:numPr>
                <w:ilvl w:val="0"/>
                <w:numId w:val="2"/>
              </w:numPr>
              <w:tabs>
                <w:tab w:val="left" w:leader="none" w:pos="324"/>
              </w:tabs>
              <w:ind w:left="143" w:firstLine="0"/>
              <w:jc w:val="both"/>
              <w:rPr>
                <w:rFonts w:ascii="Verdana" w:hAnsi="Verdana" w:eastAsia="Verdana" w:cs="Verdana"/>
                <w:b w:val="0"/>
                <w:bCs w:val="0"/>
                <w:i w:val="0"/>
                <w:iCs w:val="0"/>
                <w:color w:val="000000" w:themeColor="text1" w:themeTint="FF" w:themeShade="FF"/>
                <w:sz w:val="20"/>
                <w:szCs w:val="20"/>
              </w:rPr>
            </w:pPr>
            <w:r w:rsidRPr="627B0EF3" w:rsidR="627B0EF3">
              <w:rPr>
                <w:rFonts w:ascii="Verdana" w:hAnsi="Verdana" w:eastAsia="Verdana" w:cs="Verdana"/>
                <w:b w:val="0"/>
                <w:bCs w:val="0"/>
                <w:i w:val="0"/>
                <w:iCs w:val="0"/>
                <w:color w:val="000000" w:themeColor="text1" w:themeTint="FF" w:themeShade="FF"/>
                <w:sz w:val="20"/>
                <w:szCs w:val="20"/>
                <w:lang w:val="es-CO"/>
              </w:rPr>
              <w:t>Determinar el grado de apropiación de la evaluación a gran escala entre diferentes actores (ej: cuál es el nivel de accesibilidad y usabilidad de los resultados entre los diferentes actores del sector educativo, calidad de los mecanismos de divulgación e interpretación de los resultados)</w:t>
            </w:r>
          </w:p>
          <w:p w:rsidR="627B0EF3" w:rsidP="627B0EF3" w:rsidRDefault="627B0EF3" w14:paraId="452A9044" w14:textId="349B926A">
            <w:pPr>
              <w:pStyle w:val="Prrafodelista"/>
              <w:numPr>
                <w:ilvl w:val="0"/>
                <w:numId w:val="2"/>
              </w:numPr>
              <w:tabs>
                <w:tab w:val="left" w:leader="none" w:pos="324"/>
              </w:tabs>
              <w:ind w:left="143" w:firstLine="0"/>
              <w:jc w:val="both"/>
              <w:rPr>
                <w:rFonts w:ascii="Verdana" w:hAnsi="Verdana" w:eastAsia="Verdana" w:cs="Verdana"/>
                <w:b w:val="0"/>
                <w:bCs w:val="0"/>
                <w:i w:val="0"/>
                <w:iCs w:val="0"/>
                <w:color w:val="000000" w:themeColor="text1" w:themeTint="FF" w:themeShade="FF"/>
                <w:sz w:val="20"/>
                <w:szCs w:val="20"/>
              </w:rPr>
            </w:pPr>
            <w:r w:rsidRPr="627B0EF3" w:rsidR="627B0EF3">
              <w:rPr>
                <w:rFonts w:ascii="Verdana" w:hAnsi="Verdana" w:eastAsia="Verdana" w:cs="Verdana"/>
                <w:b w:val="0"/>
                <w:bCs w:val="0"/>
                <w:i w:val="0"/>
                <w:iCs w:val="0"/>
                <w:color w:val="000000" w:themeColor="text1" w:themeTint="FF" w:themeShade="FF"/>
                <w:sz w:val="20"/>
                <w:szCs w:val="20"/>
                <w:lang w:val="es-CO"/>
              </w:rPr>
              <w:t>Analizar las consecuencias de la evaluación estandarizada (ej: efectos de la evaluación estandarizada en la cultura de la evaluación, su relación con la mejora continua en las instituciones educativas o dinámicas de enseñanza orientadas exclusivamente a su preparación, consecuencias en la equidad educativa, efectos en la motivación docente o estudiantil).</w:t>
            </w:r>
          </w:p>
        </w:tc>
      </w:tr>
    </w:tbl>
    <w:p w:rsidRPr="005470D0" w:rsidR="00385584" w:rsidP="627B0EF3" w:rsidRDefault="00385584" w14:paraId="379D5123" w14:textId="2DF94473">
      <w:pPr>
        <w:rPr>
          <w:rFonts w:ascii="Aptos" w:hAnsi="Aptos" w:eastAsia="Aptos" w:cs="Aptos"/>
          <w:b w:val="0"/>
          <w:bCs w:val="0"/>
          <w:i w:val="0"/>
          <w:iCs w:val="0"/>
          <w:caps w:val="0"/>
          <w:smallCaps w:val="0"/>
          <w:noProof w:val="0"/>
          <w:color w:val="000000" w:themeColor="text1" w:themeTint="FF" w:themeShade="FF"/>
          <w:sz w:val="24"/>
          <w:szCs w:val="24"/>
          <w:lang w:val="es-CO"/>
        </w:rPr>
      </w:pPr>
    </w:p>
    <w:p w:rsidRPr="005470D0" w:rsidR="00385584" w:rsidP="627B0EF3" w:rsidRDefault="00385584" w14:paraId="3883C0F6" w14:textId="23BC28A2">
      <w:pPr>
        <w:rPr>
          <w:rFonts w:ascii="Aptos" w:hAnsi="Aptos" w:eastAsia="Aptos" w:cs="Aptos"/>
          <w:b w:val="0"/>
          <w:bCs w:val="0"/>
          <w:i w:val="0"/>
          <w:iCs w:val="0"/>
          <w:caps w:val="0"/>
          <w:smallCaps w:val="0"/>
          <w:noProof w:val="0"/>
          <w:color w:val="000000" w:themeColor="text1" w:themeTint="FF" w:themeShade="FF"/>
          <w:sz w:val="24"/>
          <w:szCs w:val="24"/>
          <w:lang w:val="es-CO"/>
        </w:rPr>
      </w:pPr>
      <w:r w:rsidRPr="627B0EF3" w:rsidR="1D8EB1C3">
        <w:rPr>
          <w:rFonts w:ascii="Aptos" w:hAnsi="Aptos" w:eastAsia="Aptos" w:cs="Aptos"/>
          <w:b w:val="1"/>
          <w:bCs w:val="1"/>
          <w:i w:val="0"/>
          <w:iCs w:val="0"/>
          <w:caps w:val="0"/>
          <w:smallCaps w:val="0"/>
          <w:noProof w:val="0"/>
          <w:color w:val="000000" w:themeColor="text1" w:themeTint="FF" w:themeShade="FF"/>
          <w:sz w:val="24"/>
          <w:szCs w:val="24"/>
          <w:lang w:val="es-ES"/>
        </w:rPr>
        <w:t>1.1 Transversalización del enfoque diferencial o interseccional en las líneas de investigación</w:t>
      </w:r>
    </w:p>
    <w:p w:rsidRPr="005470D0" w:rsidR="00385584" w:rsidP="627B0EF3" w:rsidRDefault="00385584" w14:paraId="7A4B4E77" w14:textId="14C36375">
      <w:pPr>
        <w:pStyle w:val="Prrafodelista"/>
        <w:numPr>
          <w:ilvl w:val="0"/>
          <w:numId w:val="3"/>
        </w:numPr>
        <w:spacing w:before="360" w:after="240" w:line="240" w:lineRule="auto"/>
        <w:ind w:left="900" w:hanging="450"/>
        <w:jc w:val="both"/>
        <w:rPr>
          <w:rFonts w:ascii="Verdana" w:hAnsi="Verdana" w:eastAsia="Verdana" w:cs="Verdana"/>
          <w:b w:val="0"/>
          <w:bCs w:val="0"/>
          <w:i w:val="0"/>
          <w:iCs w:val="0"/>
          <w:caps w:val="0"/>
          <w:smallCaps w:val="0"/>
          <w:noProof w:val="0"/>
          <w:color w:val="000000" w:themeColor="text1" w:themeTint="FF" w:themeShade="FF"/>
          <w:sz w:val="20"/>
          <w:szCs w:val="20"/>
          <w:lang w:val="es-CO"/>
        </w:rPr>
      </w:pPr>
      <w:r w:rsidRPr="627B0EF3" w:rsidR="1D8EB1C3">
        <w:rPr>
          <w:rFonts w:ascii="Verdana" w:hAnsi="Verdana" w:eastAsia="Verdana" w:cs="Verdana"/>
          <w:b w:val="1"/>
          <w:bCs w:val="1"/>
          <w:i w:val="0"/>
          <w:iCs w:val="0"/>
          <w:caps w:val="0"/>
          <w:smallCaps w:val="0"/>
          <w:noProof w:val="0"/>
          <w:color w:val="000000" w:themeColor="text1" w:themeTint="FF" w:themeShade="FF"/>
          <w:sz w:val="20"/>
          <w:szCs w:val="20"/>
          <w:lang w:val="es-ES"/>
        </w:rPr>
        <w:t xml:space="preserve">Línea 1. </w:t>
      </w:r>
      <w:r w:rsidRPr="627B0EF3" w:rsidR="1D8EB1C3">
        <w:rPr>
          <w:rFonts w:ascii="Verdana" w:hAnsi="Verdana" w:eastAsia="Verdana" w:cs="Verdana"/>
          <w:b w:val="1"/>
          <w:bCs w:val="1"/>
          <w:i w:val="0"/>
          <w:iCs w:val="0"/>
          <w:caps w:val="0"/>
          <w:smallCaps w:val="0"/>
          <w:noProof w:val="0"/>
          <w:color w:val="000000" w:themeColor="text1" w:themeTint="FF" w:themeShade="FF"/>
          <w:sz w:val="20"/>
          <w:szCs w:val="20"/>
          <w:lang w:val="es-CO"/>
        </w:rPr>
        <w:t>Nuevos dominios de evaluación:</w:t>
      </w:r>
      <w:r w:rsidRPr="627B0EF3" w:rsidR="1D8EB1C3">
        <w:rPr>
          <w:rFonts w:ascii="Verdana" w:hAnsi="Verdana" w:eastAsia="Verdana" w:cs="Verdana"/>
          <w:b w:val="0"/>
          <w:bCs w:val="0"/>
          <w:i w:val="0"/>
          <w:iCs w:val="0"/>
          <w:caps w:val="0"/>
          <w:smallCaps w:val="0"/>
          <w:noProof w:val="0"/>
          <w:color w:val="000000" w:themeColor="text1" w:themeTint="FF" w:themeShade="FF"/>
          <w:sz w:val="20"/>
          <w:szCs w:val="20"/>
          <w:lang w:val="es-CO"/>
        </w:rPr>
        <w:t xml:space="preserve"> En esta línea de investigación es posible incorporar la mirada diferencial desarrollando proyectos que evalúen la efectividad de la aplicación de nuevos enfoques de evaluación en poblaciones diferenciales como comunidades étnicas o en condición de discapacidad. Así mismo, es posible incorporar investigaciones que analicen la relación de las poblaciones diferenciales con los sistemas oficiales de evaluación estandarizada actuales con miras a brindar información que mejore los modelos de evaluación de estas poblaciones teniendo en cuenta sus necesidades particulares. Este objetivo sería complementario al objetivo de la línea 2 de investigación: evaluación inclusiva y diversa.  </w:t>
      </w:r>
    </w:p>
    <w:p w:rsidRPr="005470D0" w:rsidR="00385584" w:rsidP="627B0EF3" w:rsidRDefault="00385584" w14:paraId="7BC5C800" w14:textId="374169CA">
      <w:pPr>
        <w:spacing w:before="360" w:after="240" w:line="240" w:lineRule="auto"/>
        <w:ind w:left="900" w:hanging="450"/>
        <w:jc w:val="both"/>
        <w:rPr>
          <w:rFonts w:ascii="Verdana" w:hAnsi="Verdana" w:eastAsia="Verdana" w:cs="Verdana"/>
          <w:b w:val="0"/>
          <w:bCs w:val="0"/>
          <w:i w:val="0"/>
          <w:iCs w:val="0"/>
          <w:caps w:val="0"/>
          <w:smallCaps w:val="0"/>
          <w:noProof w:val="0"/>
          <w:color w:val="000000" w:themeColor="text1" w:themeTint="FF" w:themeShade="FF"/>
          <w:sz w:val="20"/>
          <w:szCs w:val="20"/>
          <w:lang w:val="es-CO"/>
        </w:rPr>
      </w:pPr>
    </w:p>
    <w:p w:rsidRPr="005470D0" w:rsidR="00385584" w:rsidP="627B0EF3" w:rsidRDefault="00385584" w14:paraId="042434F6" w14:textId="6EF3B996">
      <w:pPr>
        <w:pStyle w:val="Prrafodelista"/>
        <w:numPr>
          <w:ilvl w:val="0"/>
          <w:numId w:val="3"/>
        </w:numPr>
        <w:spacing w:before="360" w:after="240" w:line="240" w:lineRule="auto"/>
        <w:ind w:left="900" w:hanging="450"/>
        <w:jc w:val="both"/>
        <w:rPr>
          <w:rFonts w:ascii="Verdana" w:hAnsi="Verdana" w:eastAsia="Verdana" w:cs="Verdana"/>
          <w:b w:val="0"/>
          <w:bCs w:val="0"/>
          <w:i w:val="0"/>
          <w:iCs w:val="0"/>
          <w:caps w:val="0"/>
          <w:smallCaps w:val="0"/>
          <w:noProof w:val="0"/>
          <w:color w:val="000000" w:themeColor="text1" w:themeTint="FF" w:themeShade="FF"/>
          <w:sz w:val="20"/>
          <w:szCs w:val="20"/>
          <w:lang w:val="es-CO"/>
        </w:rPr>
      </w:pPr>
      <w:r w:rsidRPr="627B0EF3" w:rsidR="1D8EB1C3">
        <w:rPr>
          <w:rFonts w:ascii="Verdana" w:hAnsi="Verdana" w:eastAsia="Verdana" w:cs="Verdana"/>
          <w:b w:val="1"/>
          <w:bCs w:val="1"/>
          <w:i w:val="0"/>
          <w:iCs w:val="0"/>
          <w:caps w:val="0"/>
          <w:smallCaps w:val="0"/>
          <w:noProof w:val="0"/>
          <w:color w:val="000000" w:themeColor="text1" w:themeTint="FF" w:themeShade="FF"/>
          <w:sz w:val="20"/>
          <w:szCs w:val="20"/>
          <w:lang w:val="es-CO"/>
        </w:rPr>
        <w:t>Línea 2. Evaluación inclusiva y diversa:</w:t>
      </w:r>
      <w:r w:rsidRPr="627B0EF3" w:rsidR="1D8EB1C3">
        <w:rPr>
          <w:rFonts w:ascii="Verdana" w:hAnsi="Verdana" w:eastAsia="Verdana" w:cs="Verdana"/>
          <w:b w:val="0"/>
          <w:bCs w:val="0"/>
          <w:i w:val="0"/>
          <w:iCs w:val="0"/>
          <w:caps w:val="0"/>
          <w:smallCaps w:val="0"/>
          <w:noProof w:val="0"/>
          <w:color w:val="000000" w:themeColor="text1" w:themeTint="FF" w:themeShade="FF"/>
          <w:sz w:val="20"/>
          <w:szCs w:val="20"/>
          <w:lang w:val="es-CO"/>
        </w:rPr>
        <w:t xml:space="preserve"> en su definición en sí misma, esta línea busca generar conocimientos sobre el diseño e implementación de las evaluaciones en condiciones de equidad, para grupos poblacionales diversos con el fin de minimizar las barreras en el acceso y el desempeño en las pruebas.</w:t>
      </w:r>
    </w:p>
    <w:p w:rsidRPr="005470D0" w:rsidR="00385584" w:rsidP="627B0EF3" w:rsidRDefault="00385584" w14:paraId="1F6499B8" w14:textId="16034C35">
      <w:pPr>
        <w:pStyle w:val="Prrafodelista"/>
        <w:numPr>
          <w:ilvl w:val="0"/>
          <w:numId w:val="3"/>
        </w:numPr>
        <w:spacing w:before="360" w:after="240" w:line="240" w:lineRule="auto"/>
        <w:ind w:left="900" w:hanging="450"/>
        <w:jc w:val="both"/>
        <w:rPr>
          <w:rFonts w:ascii="Verdana" w:hAnsi="Verdana" w:eastAsia="Verdana" w:cs="Verdana"/>
          <w:b w:val="0"/>
          <w:bCs w:val="0"/>
          <w:i w:val="0"/>
          <w:iCs w:val="0"/>
          <w:caps w:val="0"/>
          <w:smallCaps w:val="0"/>
          <w:noProof w:val="0"/>
          <w:color w:val="000000" w:themeColor="text1" w:themeTint="FF" w:themeShade="FF"/>
          <w:sz w:val="20"/>
          <w:szCs w:val="20"/>
          <w:lang w:val="es-CO"/>
        </w:rPr>
      </w:pPr>
      <w:r w:rsidRPr="627B0EF3" w:rsidR="1D8EB1C3">
        <w:rPr>
          <w:rFonts w:ascii="Verdana" w:hAnsi="Verdana" w:eastAsia="Verdana" w:cs="Verdana"/>
          <w:b w:val="1"/>
          <w:bCs w:val="1"/>
          <w:i w:val="0"/>
          <w:iCs w:val="0"/>
          <w:caps w:val="0"/>
          <w:smallCaps w:val="0"/>
          <w:noProof w:val="0"/>
          <w:color w:val="000000" w:themeColor="text1" w:themeTint="FF" w:themeShade="FF"/>
          <w:sz w:val="20"/>
          <w:szCs w:val="20"/>
          <w:lang w:val="es-CO"/>
        </w:rPr>
        <w:t>Línea 3. Nuevas tecnologías de evaluación:</w:t>
      </w:r>
      <w:r w:rsidRPr="627B0EF3" w:rsidR="1D8EB1C3">
        <w:rPr>
          <w:rFonts w:ascii="Verdana" w:hAnsi="Verdana" w:eastAsia="Verdana" w:cs="Verdana"/>
          <w:b w:val="0"/>
          <w:bCs w:val="0"/>
          <w:i w:val="0"/>
          <w:iCs w:val="0"/>
          <w:caps w:val="0"/>
          <w:smallCaps w:val="0"/>
          <w:noProof w:val="0"/>
          <w:color w:val="000000" w:themeColor="text1" w:themeTint="FF" w:themeShade="FF"/>
          <w:sz w:val="20"/>
          <w:szCs w:val="20"/>
          <w:lang w:val="es-CO"/>
        </w:rPr>
        <w:t xml:space="preserve"> esta línea de investigación ha comprendido proyectos relacionados con efectos diferenciales en el desempeño en pruebas estandarizadas según el formato o tipo de aplicación de estas. Esto hace referencia a los aspectos positivos o negativos de aplicar pruebas en formatos como el papel, PDF, virtual, etc. Así pues, esta línea responde entre otras, a la necesidad de desarrollar investigaciones que contribuyan al mejoramiento de las condiciones de evaluación para toda la población colombiana, especialmente aquella que por sus características diferenciales necesitan evaluaciones que consideren su vulnerabilidad social, intereses y contextos particulares.</w:t>
      </w:r>
    </w:p>
    <w:p w:rsidRPr="005470D0" w:rsidR="00385584" w:rsidP="627B0EF3" w:rsidRDefault="00385584" w14:paraId="587267E3" w14:textId="09A77BB9">
      <w:pPr>
        <w:spacing w:before="360" w:after="240" w:line="240" w:lineRule="auto"/>
        <w:ind w:left="900"/>
        <w:jc w:val="both"/>
        <w:rPr>
          <w:rFonts w:ascii="Verdana" w:hAnsi="Verdana" w:eastAsia="Verdana" w:cs="Verdana"/>
          <w:b w:val="0"/>
          <w:bCs w:val="0"/>
          <w:i w:val="0"/>
          <w:iCs w:val="0"/>
          <w:caps w:val="0"/>
          <w:smallCaps w:val="0"/>
          <w:noProof w:val="0"/>
          <w:color w:val="000000" w:themeColor="text1" w:themeTint="FF" w:themeShade="FF"/>
          <w:sz w:val="20"/>
          <w:szCs w:val="20"/>
          <w:lang w:val="es-CO"/>
        </w:rPr>
      </w:pPr>
      <w:r w:rsidRPr="627B0EF3" w:rsidR="1D8EB1C3">
        <w:rPr>
          <w:rFonts w:ascii="Verdana" w:hAnsi="Verdana" w:eastAsia="Verdana" w:cs="Verdana"/>
          <w:b w:val="0"/>
          <w:bCs w:val="0"/>
          <w:i w:val="0"/>
          <w:iCs w:val="0"/>
          <w:caps w:val="0"/>
          <w:smallCaps w:val="0"/>
          <w:noProof w:val="0"/>
          <w:color w:val="000000" w:themeColor="text1" w:themeTint="FF" w:themeShade="FF"/>
          <w:sz w:val="20"/>
          <w:szCs w:val="20"/>
          <w:lang w:val="es-CO"/>
        </w:rPr>
        <w:t>Teniendo en cuenta lo anterior, en esta área temática se considera importante incorporar investigaciones que suministren información sobre la relación entre tecnologías de evaluación y grupos históricamente excluidos. Esta información será vital para, por ejemplo, comprender cómo grupos ubicados en zonas periféricas del país se desempeñan según el formato de evaluación que se les suministra. Sumado a ello, enfoques como el de discapacidad y ciclo de vida son relevantes en esta línea de investigación, ya que es imprescindible mejorar los sistemas de evaluación para personas con discapacidad, niños y niñas o población adulta, de acuerdo con sus situaciones particulares. </w:t>
      </w:r>
    </w:p>
    <w:p w:rsidRPr="005470D0" w:rsidR="00385584" w:rsidP="627B0EF3" w:rsidRDefault="00385584" w14:paraId="6D933AF1" w14:textId="1261F82E">
      <w:pPr>
        <w:pStyle w:val="Prrafodelista"/>
        <w:numPr>
          <w:ilvl w:val="0"/>
          <w:numId w:val="4"/>
        </w:numPr>
        <w:spacing w:before="360" w:after="240" w:line="240" w:lineRule="auto"/>
        <w:ind w:left="900" w:hanging="450"/>
        <w:jc w:val="both"/>
        <w:rPr>
          <w:rFonts w:ascii="Verdana" w:hAnsi="Verdana" w:eastAsia="Verdana" w:cs="Verdana"/>
          <w:b w:val="0"/>
          <w:bCs w:val="0"/>
          <w:i w:val="0"/>
          <w:iCs w:val="0"/>
          <w:caps w:val="0"/>
          <w:smallCaps w:val="0"/>
          <w:noProof w:val="0"/>
          <w:color w:val="000000" w:themeColor="text1" w:themeTint="FF" w:themeShade="FF"/>
          <w:sz w:val="20"/>
          <w:szCs w:val="20"/>
          <w:lang w:val="es-CO"/>
        </w:rPr>
      </w:pPr>
      <w:r w:rsidRPr="627B0EF3" w:rsidR="1D8EB1C3">
        <w:rPr>
          <w:rFonts w:ascii="Verdana" w:hAnsi="Verdana" w:eastAsia="Verdana" w:cs="Verdana"/>
          <w:b w:val="1"/>
          <w:bCs w:val="1"/>
          <w:i w:val="0"/>
          <w:iCs w:val="0"/>
          <w:caps w:val="0"/>
          <w:smallCaps w:val="0"/>
          <w:noProof w:val="0"/>
          <w:color w:val="000000" w:themeColor="text1" w:themeTint="FF" w:themeShade="FF"/>
          <w:sz w:val="20"/>
          <w:szCs w:val="20"/>
          <w:lang w:val="es-CO"/>
        </w:rPr>
        <w:t xml:space="preserve">Línea 5. Análisis de la calidad de la prueba y los ítems: </w:t>
      </w:r>
      <w:r w:rsidRPr="627B0EF3" w:rsidR="1D8EB1C3">
        <w:rPr>
          <w:rFonts w:ascii="Verdana" w:hAnsi="Verdana" w:eastAsia="Verdana" w:cs="Verdana"/>
          <w:b w:val="0"/>
          <w:bCs w:val="0"/>
          <w:i w:val="0"/>
          <w:iCs w:val="0"/>
          <w:caps w:val="0"/>
          <w:smallCaps w:val="0"/>
          <w:noProof w:val="0"/>
          <w:color w:val="000000" w:themeColor="text1" w:themeTint="FF" w:themeShade="FF"/>
          <w:sz w:val="20"/>
          <w:szCs w:val="20"/>
          <w:lang w:val="es-CO"/>
        </w:rPr>
        <w:t>la construcción de pruebas que no reproduzcan desigualdades entre los diferentes segmentos de la población nacional es un reto de trabajo constante para instituciones como el Icfes y sus homólogas en otros países y contextos educativos. En esta línea se pueden desarrollar proyectos de investigación que conduzcan a mejorar la construcción de los ítems en el marco del Diseño Universal de la Evaluación (DUE), para garantizar que los diferentes instrumentos de evaluación no contengan sesgos de género, etnia, proveniencia de zona rural o urbana, ser víctima del conflicto armado y demás factores asociados a desigualdades y diversas experiencias de vida. Esto hace referencia, además de estrategias como la revisión de los ítems para evitar la reproducción de estereotipos xenofóbicos, capacitistas, de género, entre otros, a investigar en torno a cuál es el impacto de aplicar pruebas con perspectiva de enfoques diferenciales en la población general y en las poblaciones históricamente excluidas de Colombia.  </w:t>
      </w:r>
    </w:p>
    <w:p w:rsidRPr="005470D0" w:rsidR="00385584" w:rsidP="627B0EF3" w:rsidRDefault="00385584" w14:paraId="54559DC3" w14:textId="07390614">
      <w:pPr>
        <w:spacing w:before="360" w:after="240" w:line="240" w:lineRule="auto"/>
        <w:ind w:left="900" w:hanging="450"/>
        <w:jc w:val="both"/>
        <w:rPr>
          <w:rFonts w:ascii="Verdana" w:hAnsi="Verdana" w:eastAsia="Verdana" w:cs="Verdana"/>
          <w:b w:val="0"/>
          <w:bCs w:val="0"/>
          <w:i w:val="0"/>
          <w:iCs w:val="0"/>
          <w:caps w:val="0"/>
          <w:smallCaps w:val="0"/>
          <w:noProof w:val="0"/>
          <w:color w:val="000000" w:themeColor="text1" w:themeTint="FF" w:themeShade="FF"/>
          <w:sz w:val="20"/>
          <w:szCs w:val="20"/>
          <w:lang w:val="es-CO"/>
        </w:rPr>
      </w:pPr>
    </w:p>
    <w:p w:rsidRPr="005470D0" w:rsidR="00385584" w:rsidP="627B0EF3" w:rsidRDefault="00385584" w14:paraId="1D77B35F" w14:textId="33A0AA14">
      <w:pPr>
        <w:pStyle w:val="Prrafodelista"/>
        <w:numPr>
          <w:ilvl w:val="0"/>
          <w:numId w:val="5"/>
        </w:numPr>
        <w:spacing w:before="360" w:after="240" w:line="240" w:lineRule="auto"/>
        <w:ind w:left="900" w:hanging="450"/>
        <w:jc w:val="both"/>
        <w:rPr>
          <w:rFonts w:ascii="Verdana" w:hAnsi="Verdana" w:eastAsia="Verdana" w:cs="Verdana"/>
          <w:b w:val="0"/>
          <w:bCs w:val="0"/>
          <w:i w:val="0"/>
          <w:iCs w:val="0"/>
          <w:caps w:val="0"/>
          <w:smallCaps w:val="0"/>
          <w:noProof w:val="0"/>
          <w:color w:val="000000" w:themeColor="text1" w:themeTint="FF" w:themeShade="FF"/>
          <w:sz w:val="20"/>
          <w:szCs w:val="20"/>
          <w:lang w:val="es-CO"/>
        </w:rPr>
      </w:pPr>
      <w:r w:rsidRPr="627B0EF3" w:rsidR="1D8EB1C3">
        <w:rPr>
          <w:rFonts w:ascii="Verdana" w:hAnsi="Verdana" w:eastAsia="Verdana" w:cs="Verdana"/>
          <w:b w:val="1"/>
          <w:bCs w:val="1"/>
          <w:i w:val="0"/>
          <w:iCs w:val="0"/>
          <w:caps w:val="0"/>
          <w:smallCaps w:val="0"/>
          <w:noProof w:val="0"/>
          <w:color w:val="000000" w:themeColor="text1" w:themeTint="FF" w:themeShade="FF"/>
          <w:sz w:val="20"/>
          <w:szCs w:val="20"/>
          <w:lang w:val="es-CO"/>
        </w:rPr>
        <w:t>Línea 6. Factores asociados al aprendizaje:</w:t>
      </w:r>
      <w:r w:rsidRPr="627B0EF3" w:rsidR="1D8EB1C3">
        <w:rPr>
          <w:rFonts w:ascii="Verdana" w:hAnsi="Verdana" w:eastAsia="Verdana" w:cs="Verdana"/>
          <w:b w:val="0"/>
          <w:bCs w:val="0"/>
          <w:i w:val="0"/>
          <w:iCs w:val="0"/>
          <w:caps w:val="0"/>
          <w:smallCaps w:val="0"/>
          <w:noProof w:val="0"/>
          <w:color w:val="000000" w:themeColor="text1" w:themeTint="FF" w:themeShade="FF"/>
          <w:sz w:val="20"/>
          <w:szCs w:val="20"/>
          <w:lang w:val="es-CO"/>
        </w:rPr>
        <w:t xml:space="preserve"> Los estudios de factores asociados al aprendizaje tienen la potencialidad de analizar en distintos niveles (individual, aula, institucional, sistema educativo o contextual) los factores que influyen en el desempeño académico de las y los estudiantes del sistema educativo nacional. En este sentido, es de interés de la OAGPI que las investigaciones realizadas en esta línea incorporen y visibilicen a los grupos sociales históricamente marginados, de modo que sea posible brindar información sobre el estado actual del desempeño académico de estos grupos y los factores que diferencialmente influyen en estas poblaciones. Esta información es relevante en la construcción de política pública educativa con enfoque diferencial. </w:t>
      </w:r>
    </w:p>
    <w:p w:rsidRPr="005470D0" w:rsidR="00385584" w:rsidP="627B0EF3" w:rsidRDefault="00385584" w14:paraId="25932688" w14:textId="20A8DF27">
      <w:pPr>
        <w:spacing w:before="360" w:after="240" w:line="240" w:lineRule="auto"/>
        <w:ind w:left="900" w:hanging="450"/>
        <w:jc w:val="both"/>
        <w:rPr>
          <w:rFonts w:ascii="Verdana" w:hAnsi="Verdana" w:eastAsia="Verdana" w:cs="Verdana"/>
          <w:b w:val="0"/>
          <w:bCs w:val="0"/>
          <w:i w:val="0"/>
          <w:iCs w:val="0"/>
          <w:caps w:val="0"/>
          <w:smallCaps w:val="0"/>
          <w:noProof w:val="0"/>
          <w:color w:val="000000" w:themeColor="text1" w:themeTint="FF" w:themeShade="FF"/>
          <w:sz w:val="20"/>
          <w:szCs w:val="20"/>
          <w:lang w:val="es-CO"/>
        </w:rPr>
      </w:pPr>
    </w:p>
    <w:p w:rsidRPr="005470D0" w:rsidR="00385584" w:rsidP="627B0EF3" w:rsidRDefault="00385584" w14:paraId="56FEE53E" w14:textId="177B1C3C">
      <w:pPr>
        <w:pStyle w:val="Prrafodelista"/>
        <w:numPr>
          <w:ilvl w:val="0"/>
          <w:numId w:val="5"/>
        </w:numPr>
        <w:spacing w:before="360" w:after="240" w:line="240" w:lineRule="auto"/>
        <w:ind w:left="900" w:hanging="450"/>
        <w:jc w:val="both"/>
        <w:rPr>
          <w:rFonts w:ascii="Verdana" w:hAnsi="Verdana" w:eastAsia="Verdana" w:cs="Verdana"/>
          <w:b w:val="0"/>
          <w:bCs w:val="0"/>
          <w:i w:val="0"/>
          <w:iCs w:val="0"/>
          <w:caps w:val="0"/>
          <w:smallCaps w:val="0"/>
          <w:noProof w:val="0"/>
          <w:color w:val="000000" w:themeColor="text1" w:themeTint="FF" w:themeShade="FF"/>
          <w:sz w:val="20"/>
          <w:szCs w:val="20"/>
          <w:lang w:val="es-CO"/>
        </w:rPr>
      </w:pPr>
      <w:r w:rsidRPr="627B0EF3" w:rsidR="1D8EB1C3">
        <w:rPr>
          <w:rFonts w:ascii="Verdana" w:hAnsi="Verdana" w:eastAsia="Verdana" w:cs="Verdana"/>
          <w:b w:val="1"/>
          <w:bCs w:val="1"/>
          <w:i w:val="0"/>
          <w:iCs w:val="0"/>
          <w:caps w:val="0"/>
          <w:smallCaps w:val="0"/>
          <w:noProof w:val="0"/>
          <w:color w:val="000000" w:themeColor="text1" w:themeTint="FF" w:themeShade="FF"/>
          <w:sz w:val="20"/>
          <w:szCs w:val="20"/>
          <w:lang w:val="es-CO"/>
        </w:rPr>
        <w:t>Línea 7. Trayectorias educativas y curso de vida:</w:t>
      </w:r>
      <w:r w:rsidRPr="627B0EF3" w:rsidR="1D8EB1C3">
        <w:rPr>
          <w:rFonts w:ascii="Verdana" w:hAnsi="Verdana" w:eastAsia="Verdana" w:cs="Verdana"/>
          <w:b w:val="0"/>
          <w:bCs w:val="0"/>
          <w:i w:val="0"/>
          <w:iCs w:val="0"/>
          <w:caps w:val="0"/>
          <w:smallCaps w:val="0"/>
          <w:noProof w:val="0"/>
          <w:color w:val="000000" w:themeColor="text1" w:themeTint="FF" w:themeShade="FF"/>
          <w:sz w:val="20"/>
          <w:szCs w:val="20"/>
          <w:lang w:val="es-CO"/>
        </w:rPr>
        <w:t xml:space="preserve"> los estudios de trayectorias y curso de vida podrán enfocarse en analizar las trayectorias, resultados educativos y logro en curso de mujeres, personas en situación de discapacidad, jóvenes de comunidades étnicas, afro, raizales, y todos los grupos que se consideran de interés desde la perspectiva del enfoque interseccional y el enfoque diferencial. Aun cuando el objetivo principal de las investigaciones no sea indagar sobre estos grupos, en los casos en que sea posible diferenciar datos, cifras y correlaciones en relación con las trayectorias de estas comunidades se considerará de importancia hacerlo. Lo anterior es relevante con miras a la visibilización de estas comunidades y la garantía de su participación como sujetos de derecho. </w:t>
      </w:r>
    </w:p>
    <w:p w:rsidRPr="005470D0" w:rsidR="00385584" w:rsidP="627B0EF3" w:rsidRDefault="00385584" w14:paraId="1EA07D29" w14:textId="5103BDE9">
      <w:pPr>
        <w:spacing w:before="360" w:after="240" w:line="240" w:lineRule="auto"/>
        <w:ind w:left="900" w:hanging="450"/>
        <w:jc w:val="both"/>
        <w:rPr>
          <w:rFonts w:ascii="Verdana" w:hAnsi="Verdana" w:eastAsia="Verdana" w:cs="Verdana"/>
          <w:b w:val="0"/>
          <w:bCs w:val="0"/>
          <w:i w:val="0"/>
          <w:iCs w:val="0"/>
          <w:caps w:val="0"/>
          <w:smallCaps w:val="0"/>
          <w:noProof w:val="0"/>
          <w:color w:val="000000" w:themeColor="text1" w:themeTint="FF" w:themeShade="FF"/>
          <w:sz w:val="20"/>
          <w:szCs w:val="20"/>
          <w:lang w:val="es-CO"/>
        </w:rPr>
      </w:pPr>
    </w:p>
    <w:p w:rsidRPr="005470D0" w:rsidR="00385584" w:rsidP="627B0EF3" w:rsidRDefault="00385584" w14:paraId="0E73372E" w14:textId="5EC8A8C4">
      <w:pPr>
        <w:pStyle w:val="Prrafodelista"/>
        <w:numPr>
          <w:ilvl w:val="0"/>
          <w:numId w:val="5"/>
        </w:numPr>
        <w:spacing w:before="360" w:after="240" w:line="240" w:lineRule="auto"/>
        <w:ind w:left="900" w:hanging="450"/>
        <w:jc w:val="both"/>
        <w:rPr>
          <w:rFonts w:ascii="Verdana" w:hAnsi="Verdana" w:eastAsia="Verdana" w:cs="Verdana"/>
          <w:b w:val="0"/>
          <w:bCs w:val="0"/>
          <w:i w:val="0"/>
          <w:iCs w:val="0"/>
          <w:caps w:val="0"/>
          <w:smallCaps w:val="0"/>
          <w:noProof w:val="0"/>
          <w:color w:val="000000" w:themeColor="text1" w:themeTint="FF" w:themeShade="FF"/>
          <w:sz w:val="20"/>
          <w:szCs w:val="20"/>
          <w:lang w:val="es-CO"/>
        </w:rPr>
      </w:pPr>
      <w:r w:rsidRPr="627B0EF3" w:rsidR="1D8EB1C3">
        <w:rPr>
          <w:rFonts w:ascii="Verdana" w:hAnsi="Verdana" w:eastAsia="Verdana" w:cs="Verdana"/>
          <w:b w:val="1"/>
          <w:bCs w:val="1"/>
          <w:i w:val="0"/>
          <w:iCs w:val="0"/>
          <w:caps w:val="0"/>
          <w:smallCaps w:val="0"/>
          <w:noProof w:val="0"/>
          <w:color w:val="000000" w:themeColor="text1" w:themeTint="FF" w:themeShade="FF"/>
          <w:sz w:val="20"/>
          <w:szCs w:val="20"/>
          <w:lang w:val="es-CO"/>
        </w:rPr>
        <w:t>Línea 8. Apropiación social de la evaluación</w:t>
      </w:r>
      <w:r w:rsidRPr="627B0EF3" w:rsidR="1D8EB1C3">
        <w:rPr>
          <w:rFonts w:ascii="Verdana" w:hAnsi="Verdana" w:eastAsia="Verdana" w:cs="Verdana"/>
          <w:b w:val="0"/>
          <w:bCs w:val="0"/>
          <w:i w:val="0"/>
          <w:iCs w:val="0"/>
          <w:caps w:val="0"/>
          <w:smallCaps w:val="0"/>
          <w:noProof w:val="0"/>
          <w:color w:val="000000" w:themeColor="text1" w:themeTint="FF" w:themeShade="FF"/>
          <w:sz w:val="20"/>
          <w:szCs w:val="20"/>
          <w:lang w:val="es-CO"/>
        </w:rPr>
        <w:t>: esta línea pretende explorar la percepción, el uso y las consecuencias de la evaluación estandarizada en los diferentes actores del campo educativo. En este caso, los diferentes proyectos de investigación desarrollados en esta línea podrán analizar estos aspectos en las comunidades de interés para el enfoque diferencial e interseccional, teniendo en cuenta que estos también actores que participan en diferentes formas en el campo educacional nacional. Particularmente es de interés analizar los usos y las consecuencias de la evaluación estandarizada, esto con miras de generar información específica sobre la relación de estos grupos con la forma en que se los evalúa y la facilidad o utilidad que ellos y ellas encuentran de este proceso. </w:t>
      </w:r>
    </w:p>
    <w:p w:rsidRPr="005470D0" w:rsidR="00385584" w:rsidP="627B0EF3" w:rsidRDefault="00385584" w14:paraId="0EC24813" w14:textId="1052F478">
      <w:pPr>
        <w:spacing w:line="279" w:lineRule="auto"/>
        <w:rPr>
          <w:rFonts w:ascii="Verdana" w:hAnsi="Verdana" w:eastAsia="Verdana" w:cs="Verdana"/>
          <w:b w:val="0"/>
          <w:bCs w:val="0"/>
          <w:i w:val="0"/>
          <w:iCs w:val="0"/>
          <w:caps w:val="0"/>
          <w:smallCaps w:val="0"/>
          <w:noProof w:val="0"/>
          <w:color w:val="000000" w:themeColor="text1" w:themeTint="FF" w:themeShade="FF"/>
          <w:sz w:val="20"/>
          <w:szCs w:val="20"/>
          <w:lang w:val="es-CO"/>
        </w:rPr>
      </w:pPr>
      <w:r w:rsidRPr="627B0EF3" w:rsidR="1D8EB1C3">
        <w:rPr>
          <w:rFonts w:ascii="Verdana" w:hAnsi="Verdana" w:eastAsia="Verdana" w:cs="Verdana"/>
          <w:b w:val="1"/>
          <w:bCs w:val="1"/>
          <w:i w:val="0"/>
          <w:iCs w:val="0"/>
          <w:caps w:val="0"/>
          <w:smallCaps w:val="0"/>
          <w:noProof w:val="0"/>
          <w:color w:val="000000" w:themeColor="text1" w:themeTint="FF" w:themeShade="FF"/>
          <w:sz w:val="20"/>
          <w:szCs w:val="20"/>
          <w:lang w:val="es-ES"/>
        </w:rPr>
        <w:t>2.  Ejes temáticos de investigación</w:t>
      </w:r>
    </w:p>
    <w:p w:rsidRPr="005470D0" w:rsidR="00385584" w:rsidP="627B0EF3" w:rsidRDefault="00385584" w14:paraId="713A1B38" w14:textId="2BD3DCAC">
      <w:pPr>
        <w:spacing w:line="279" w:lineRule="auto"/>
        <w:jc w:val="both"/>
        <w:rPr>
          <w:rFonts w:ascii="Verdana" w:hAnsi="Verdana" w:eastAsia="Verdana" w:cs="Verdana"/>
          <w:b w:val="0"/>
          <w:bCs w:val="0"/>
          <w:i w:val="0"/>
          <w:iCs w:val="0"/>
          <w:caps w:val="0"/>
          <w:smallCaps w:val="0"/>
          <w:noProof w:val="0"/>
          <w:color w:val="000000" w:themeColor="text1" w:themeTint="FF" w:themeShade="FF"/>
          <w:sz w:val="20"/>
          <w:szCs w:val="20"/>
          <w:lang w:val="es-CO"/>
        </w:rPr>
      </w:pPr>
      <w:r w:rsidRPr="627B0EF3" w:rsidR="1D8EB1C3">
        <w:rPr>
          <w:rFonts w:ascii="Verdana" w:hAnsi="Verdana" w:eastAsia="Verdana" w:cs="Verdana"/>
          <w:b w:val="0"/>
          <w:bCs w:val="0"/>
          <w:i w:val="0"/>
          <w:iCs w:val="0"/>
          <w:caps w:val="0"/>
          <w:smallCaps w:val="0"/>
          <w:noProof w:val="0"/>
          <w:color w:val="000000" w:themeColor="text1" w:themeTint="FF" w:themeShade="FF"/>
          <w:sz w:val="20"/>
          <w:szCs w:val="20"/>
          <w:lang w:val="es-ES"/>
        </w:rPr>
        <w:t>La siguiente tabla presenta un listado de las temáticas más relevantes identificadas a partir de la revisión del marco conceptual y contextual sobre calidad de la educación. Las temáticas se presentan agrupadas en cuatro grandes categorías: equidad en educación y cierre de brechas; educación de calidad; educación y desarrollo humano integral; y educación en contexto. Cabe notar que este listado no es exhaustivo ni invariable, dado que los criterios de pertinencia y oportunidad de las investigaciones son dinámicos en el tiempo.</w:t>
      </w:r>
    </w:p>
    <w:p w:rsidRPr="005470D0" w:rsidR="00385584" w:rsidP="627B0EF3" w:rsidRDefault="00385584" w14:paraId="4193E625" w14:textId="0FF5CBEB">
      <w:pPr>
        <w:pStyle w:val="Normal"/>
        <w:spacing w:line="279" w:lineRule="auto"/>
        <w:jc w:val="center"/>
        <w:rPr>
          <w:rFonts w:ascii="Verdana" w:hAnsi="Verdana" w:eastAsia="Verdana" w:cs="Verdana"/>
          <w:b w:val="0"/>
          <w:bCs w:val="0"/>
          <w:i w:val="0"/>
          <w:iCs w:val="0"/>
          <w:caps w:val="0"/>
          <w:smallCaps w:val="0"/>
          <w:noProof w:val="0"/>
          <w:color w:val="000000" w:themeColor="text1" w:themeTint="FF" w:themeShade="FF"/>
          <w:sz w:val="22"/>
          <w:szCs w:val="22"/>
          <w:lang w:val="es-CO"/>
        </w:rPr>
      </w:pPr>
    </w:p>
    <w:p w:rsidRPr="005470D0" w:rsidR="00385584" w:rsidP="627B0EF3" w:rsidRDefault="00385584" w14:paraId="650268CF" w14:textId="116C1BC6">
      <w:pPr>
        <w:pStyle w:val="Descripcin"/>
        <w:suppressLineNumbers w:val="0"/>
        <w:bidi w:val="0"/>
        <w:spacing w:before="0" w:beforeAutospacing="off" w:after="200" w:afterAutospacing="off" w:line="240" w:lineRule="auto"/>
        <w:ind w:left="0" w:right="0"/>
        <w:jc w:val="left"/>
        <w:rPr>
          <w:rFonts w:cs="Calibri"/>
          <w:noProof w:val="0"/>
          <w:sz w:val="24"/>
          <w:szCs w:val="24"/>
          <w:lang w:val="es-CO"/>
        </w:rPr>
      </w:pPr>
      <w:r w:rsidRPr="627B0EF3" w:rsidR="1D8EB1C3">
        <w:rPr>
          <w:rFonts w:cs="Calibri"/>
          <w:noProof w:val="0"/>
          <w:sz w:val="24"/>
          <w:szCs w:val="24"/>
          <w:lang w:val="es-CO"/>
        </w:rPr>
        <w:t>Tabla 2. Ejes y temáticas de investigación</w:t>
      </w:r>
    </w:p>
    <w:tbl>
      <w:tblPr>
        <w:tblStyle w:val="Tablanormal"/>
        <w:tblW w:w="0" w:type="auto"/>
        <w:tblBorders>
          <w:top w:val="single" w:sz="6"/>
          <w:left w:val="single" w:sz="6"/>
          <w:bottom w:val="single" w:sz="6"/>
          <w:right w:val="single" w:sz="6"/>
        </w:tblBorders>
        <w:tblLayout w:type="fixed"/>
        <w:tblLook w:val="04A0" w:firstRow="1" w:lastRow="0" w:firstColumn="1" w:lastColumn="0" w:noHBand="0" w:noVBand="1"/>
      </w:tblPr>
      <w:tblGrid>
        <w:gridCol w:w="2030"/>
        <w:gridCol w:w="2730"/>
        <w:gridCol w:w="4074"/>
      </w:tblGrid>
      <w:tr w:rsidR="627B0EF3" w:rsidTr="627B0EF3" w14:paraId="53BC53B7">
        <w:trPr>
          <w:trHeight w:val="300"/>
        </w:trPr>
        <w:tc>
          <w:tcPr>
            <w:tcW w:w="2030" w:type="dxa"/>
            <w:tcBorders>
              <w:top w:val="single" w:color="9CC2E5" w:sz="6"/>
              <w:left w:val="nil"/>
              <w:bottom w:val="single" w:color="9CC2E5" w:sz="6"/>
              <w:right w:val="single" w:color="9CC2E5" w:sz="6"/>
            </w:tcBorders>
            <w:shd w:val="clear" w:color="auto" w:fill="D0CECE"/>
            <w:tcMar>
              <w:left w:w="105" w:type="dxa"/>
              <w:right w:w="105" w:type="dxa"/>
            </w:tcMar>
            <w:vAlign w:val="center"/>
          </w:tcPr>
          <w:p w:rsidR="627B0EF3" w:rsidP="627B0EF3" w:rsidRDefault="627B0EF3" w14:paraId="2E1FB89F" w14:textId="5F72B757">
            <w:pPr>
              <w:spacing w:line="279" w:lineRule="auto"/>
              <w:jc w:val="center"/>
              <w:rPr>
                <w:rFonts w:ascii="Verdana" w:hAnsi="Verdana" w:eastAsia="Verdana" w:cs="Verdana"/>
                <w:b w:val="0"/>
                <w:bCs w:val="0"/>
                <w:i w:val="0"/>
                <w:iCs w:val="0"/>
                <w:color w:val="000000" w:themeColor="text1" w:themeTint="FF" w:themeShade="FF"/>
                <w:sz w:val="20"/>
                <w:szCs w:val="20"/>
              </w:rPr>
            </w:pPr>
            <w:r w:rsidRPr="627B0EF3" w:rsidR="627B0EF3">
              <w:rPr>
                <w:rFonts w:ascii="Verdana" w:hAnsi="Verdana" w:eastAsia="Verdana" w:cs="Verdana"/>
                <w:b w:val="1"/>
                <w:bCs w:val="1"/>
                <w:i w:val="0"/>
                <w:iCs w:val="0"/>
                <w:color w:val="000000" w:themeColor="text1" w:themeTint="FF" w:themeShade="FF"/>
                <w:sz w:val="20"/>
                <w:szCs w:val="20"/>
                <w:lang w:val="es-CO"/>
              </w:rPr>
              <w:t>Ejes</w:t>
            </w:r>
          </w:p>
        </w:tc>
        <w:tc>
          <w:tcPr>
            <w:tcW w:w="2730" w:type="dxa"/>
            <w:tcBorders>
              <w:top w:val="single" w:color="9CC2E5" w:sz="6"/>
              <w:left w:val="single" w:color="9CC2E5" w:sz="6"/>
              <w:bottom w:val="single" w:color="9CC2E5" w:sz="6"/>
              <w:right w:val="nil"/>
            </w:tcBorders>
            <w:shd w:val="clear" w:color="auto" w:fill="D0CECE"/>
            <w:tcMar>
              <w:left w:w="105" w:type="dxa"/>
              <w:right w:w="105" w:type="dxa"/>
            </w:tcMar>
            <w:vAlign w:val="top"/>
          </w:tcPr>
          <w:p w:rsidR="627B0EF3" w:rsidP="627B0EF3" w:rsidRDefault="627B0EF3" w14:paraId="7207C079" w14:textId="7AD643B7">
            <w:pPr>
              <w:spacing w:line="279" w:lineRule="auto"/>
              <w:jc w:val="center"/>
              <w:rPr>
                <w:rFonts w:ascii="Verdana" w:hAnsi="Verdana" w:eastAsia="Verdana" w:cs="Verdana"/>
                <w:b w:val="0"/>
                <w:bCs w:val="0"/>
                <w:i w:val="0"/>
                <w:iCs w:val="0"/>
                <w:color w:val="000000" w:themeColor="text1" w:themeTint="FF" w:themeShade="FF"/>
                <w:sz w:val="20"/>
                <w:szCs w:val="20"/>
              </w:rPr>
            </w:pPr>
            <w:r w:rsidRPr="627B0EF3" w:rsidR="627B0EF3">
              <w:rPr>
                <w:rFonts w:ascii="Verdana" w:hAnsi="Verdana" w:eastAsia="Verdana" w:cs="Verdana"/>
                <w:b w:val="1"/>
                <w:bCs w:val="1"/>
                <w:i w:val="0"/>
                <w:iCs w:val="0"/>
                <w:color w:val="000000" w:themeColor="text1" w:themeTint="FF" w:themeShade="FF"/>
                <w:sz w:val="20"/>
                <w:szCs w:val="20"/>
                <w:lang w:val="en-US"/>
              </w:rPr>
              <w:t>Definición</w:t>
            </w:r>
          </w:p>
        </w:tc>
        <w:tc>
          <w:tcPr>
            <w:tcW w:w="4074" w:type="dxa"/>
            <w:tcBorders>
              <w:top w:val="single" w:color="9CC2E5" w:sz="6"/>
              <w:left w:val="single" w:color="9CC2E5" w:sz="6"/>
              <w:bottom w:val="single" w:color="9CC2E5" w:sz="6"/>
              <w:right w:val="nil"/>
            </w:tcBorders>
            <w:shd w:val="clear" w:color="auto" w:fill="D0CECE"/>
            <w:tcMar>
              <w:left w:w="105" w:type="dxa"/>
              <w:right w:w="105" w:type="dxa"/>
            </w:tcMar>
            <w:vAlign w:val="top"/>
          </w:tcPr>
          <w:p w:rsidR="627B0EF3" w:rsidP="627B0EF3" w:rsidRDefault="627B0EF3" w14:paraId="0EF5C15D" w14:textId="4AB57216">
            <w:pPr>
              <w:spacing w:line="279" w:lineRule="auto"/>
              <w:ind w:left="360"/>
              <w:jc w:val="center"/>
              <w:rPr>
                <w:rFonts w:ascii="Verdana" w:hAnsi="Verdana" w:eastAsia="Verdana" w:cs="Verdana"/>
                <w:b w:val="0"/>
                <w:bCs w:val="0"/>
                <w:i w:val="0"/>
                <w:iCs w:val="0"/>
                <w:color w:val="000000" w:themeColor="text1" w:themeTint="FF" w:themeShade="FF"/>
                <w:sz w:val="20"/>
                <w:szCs w:val="20"/>
              </w:rPr>
            </w:pPr>
            <w:r w:rsidRPr="627B0EF3" w:rsidR="627B0EF3">
              <w:rPr>
                <w:rFonts w:ascii="Verdana" w:hAnsi="Verdana" w:eastAsia="Verdana" w:cs="Verdana"/>
                <w:b w:val="1"/>
                <w:bCs w:val="1"/>
                <w:i w:val="0"/>
                <w:iCs w:val="0"/>
                <w:color w:val="000000" w:themeColor="text1" w:themeTint="FF" w:themeShade="FF"/>
                <w:sz w:val="20"/>
                <w:szCs w:val="20"/>
                <w:lang w:val="en-US"/>
              </w:rPr>
              <w:t>Temáticas</w:t>
            </w:r>
          </w:p>
        </w:tc>
      </w:tr>
      <w:tr w:rsidR="627B0EF3" w:rsidTr="627B0EF3" w14:paraId="53D24CB7">
        <w:trPr>
          <w:trHeight w:val="300"/>
        </w:trPr>
        <w:tc>
          <w:tcPr>
            <w:tcW w:w="2030" w:type="dxa"/>
            <w:tcBorders>
              <w:top w:val="single" w:color="9CC2E5" w:sz="6"/>
              <w:left w:val="nil"/>
              <w:bottom w:val="single" w:color="9CC2E5" w:sz="6"/>
              <w:right w:val="single" w:color="9CC2E5" w:sz="6"/>
            </w:tcBorders>
            <w:shd w:val="clear" w:color="auto" w:fill="D0CECE"/>
            <w:tcMar>
              <w:left w:w="105" w:type="dxa"/>
              <w:right w:w="105" w:type="dxa"/>
            </w:tcMar>
            <w:vAlign w:val="center"/>
          </w:tcPr>
          <w:p w:rsidR="627B0EF3" w:rsidP="627B0EF3" w:rsidRDefault="627B0EF3" w14:paraId="631027C8" w14:textId="357BEB6A">
            <w:p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1"/>
                <w:bCs w:val="1"/>
                <w:i w:val="0"/>
                <w:iCs w:val="0"/>
                <w:color w:val="000000" w:themeColor="text1" w:themeTint="FF" w:themeShade="FF"/>
                <w:sz w:val="18"/>
                <w:szCs w:val="18"/>
                <w:lang w:val="es-CO"/>
              </w:rPr>
              <w:t>Equidad en educación y cierre de brechas </w:t>
            </w:r>
          </w:p>
        </w:tc>
        <w:tc>
          <w:tcPr>
            <w:tcW w:w="2730" w:type="dxa"/>
            <w:tcBorders>
              <w:top w:val="single" w:color="9CC2E5" w:sz="6"/>
              <w:left w:val="single" w:color="9CC2E5" w:sz="6"/>
              <w:bottom w:val="single" w:color="9CC2E5" w:sz="6"/>
              <w:right w:val="nil"/>
            </w:tcBorders>
            <w:shd w:val="clear" w:color="auto" w:fill="D0CECE"/>
            <w:tcMar>
              <w:left w:w="105" w:type="dxa"/>
              <w:right w:w="105" w:type="dxa"/>
            </w:tcMar>
            <w:vAlign w:val="top"/>
          </w:tcPr>
          <w:p w:rsidR="627B0EF3" w:rsidP="627B0EF3" w:rsidRDefault="627B0EF3" w14:paraId="04783468" w14:textId="0CE75490">
            <w:pPr>
              <w:spacing w:line="279" w:lineRule="auto"/>
              <w:ind w:left="0"/>
              <w:jc w:val="both"/>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s-ES"/>
              </w:rPr>
              <w:t>La equidad en educación se refiere a la garantía del acceso, permanencia y aprendizaje significativo para todos(as) los(as) estudiantes, independientemente de su origen socioeconómico, género, pertenencia étnico-racial, condición de discapacidad, ubicación geográfica o cualquier otra condición o situación particular. De manera que, implica reconocer y atender las desigualdades estructurales, históricas y sistemáticas que afectan los aprendizajes y trayectorias educativas de las personas. El cierre de brechas se refiere al estudio de los mecanismos orientados a la reducción y eventual erradicación de las diferencias en los resultados educativos entre la población estructuralmente excluida, asegurando que las condiciones de aprendizaje sean justas y que los(as) estudiantes con mayores desventajas reciban los recursos y oportunidades necesarias para superar dichas barreras.</w:t>
            </w:r>
          </w:p>
        </w:tc>
        <w:tc>
          <w:tcPr>
            <w:tcW w:w="4074" w:type="dxa"/>
            <w:tcBorders>
              <w:top w:val="single" w:color="9CC2E5" w:sz="6"/>
              <w:left w:val="single" w:color="9CC2E5" w:sz="6"/>
              <w:bottom w:val="single" w:color="9CC2E5" w:sz="6"/>
              <w:right w:val="nil"/>
            </w:tcBorders>
            <w:shd w:val="clear" w:color="auto" w:fill="D0CECE"/>
            <w:tcMar>
              <w:left w:w="105" w:type="dxa"/>
              <w:right w:w="105" w:type="dxa"/>
            </w:tcMar>
            <w:vAlign w:val="top"/>
          </w:tcPr>
          <w:p w:rsidR="627B0EF3" w:rsidP="627B0EF3" w:rsidRDefault="627B0EF3" w14:paraId="063DC903" w14:textId="24072A9E">
            <w:pPr>
              <w:pStyle w:val="Prrafodelista"/>
              <w:numPr>
                <w:ilvl w:val="0"/>
                <w:numId w:val="6"/>
              </w:num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n-US"/>
              </w:rPr>
              <w:t>Educación inclusiva </w:t>
            </w:r>
            <w:r w:rsidRPr="627B0EF3" w:rsidR="627B0EF3">
              <w:rPr>
                <w:rFonts w:ascii="Verdana" w:hAnsi="Verdana" w:eastAsia="Verdana" w:cs="Verdana"/>
                <w:b w:val="0"/>
                <w:bCs w:val="0"/>
                <w:i w:val="0"/>
                <w:iCs w:val="0"/>
                <w:color w:val="000000" w:themeColor="text1" w:themeTint="FF" w:themeShade="FF"/>
                <w:sz w:val="18"/>
                <w:szCs w:val="18"/>
                <w:lang w:val="es-CO"/>
              </w:rPr>
              <w:t> </w:t>
            </w:r>
          </w:p>
          <w:p w:rsidR="627B0EF3" w:rsidP="627B0EF3" w:rsidRDefault="627B0EF3" w14:paraId="17101243" w14:textId="545BE984">
            <w:pPr>
              <w:pStyle w:val="Prrafodelista"/>
              <w:numPr>
                <w:ilvl w:val="0"/>
                <w:numId w:val="7"/>
              </w:num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n-US"/>
              </w:rPr>
              <w:t>Educación rural</w:t>
            </w:r>
          </w:p>
          <w:p w:rsidR="627B0EF3" w:rsidP="627B0EF3" w:rsidRDefault="627B0EF3" w14:paraId="1C131C29" w14:textId="0AA651E5">
            <w:pPr>
              <w:pStyle w:val="Prrafodelista"/>
              <w:numPr>
                <w:ilvl w:val="0"/>
                <w:numId w:val="8"/>
              </w:num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n-US"/>
              </w:rPr>
              <w:t>Trayectorias educativas completas </w:t>
            </w:r>
            <w:r w:rsidRPr="627B0EF3" w:rsidR="627B0EF3">
              <w:rPr>
                <w:rFonts w:ascii="Verdana" w:hAnsi="Verdana" w:eastAsia="Verdana" w:cs="Verdana"/>
                <w:b w:val="0"/>
                <w:bCs w:val="0"/>
                <w:i w:val="0"/>
                <w:iCs w:val="0"/>
                <w:color w:val="000000" w:themeColor="text1" w:themeTint="FF" w:themeShade="FF"/>
                <w:sz w:val="18"/>
                <w:szCs w:val="18"/>
                <w:lang w:val="es-CO"/>
              </w:rPr>
              <w:t> </w:t>
            </w:r>
          </w:p>
          <w:p w:rsidR="627B0EF3" w:rsidP="627B0EF3" w:rsidRDefault="627B0EF3" w14:paraId="7E2D9755" w14:textId="51F905C6">
            <w:pPr>
              <w:pStyle w:val="Prrafodelista"/>
              <w:numPr>
                <w:ilvl w:val="0"/>
                <w:numId w:val="9"/>
              </w:num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s-CO"/>
              </w:rPr>
              <w:t>Brechas de género (Ej: en áreas STEM por sus siglas en inglés: ciencia, tecnología, ingeniería, matemáticas; en las trayectorias educativas, interacciones de aprendizaje, etc). </w:t>
            </w:r>
          </w:p>
          <w:p w:rsidR="627B0EF3" w:rsidP="627B0EF3" w:rsidRDefault="627B0EF3" w14:paraId="0714AD6C" w14:textId="3CC11A67">
            <w:pPr>
              <w:pStyle w:val="Prrafodelista"/>
              <w:numPr>
                <w:ilvl w:val="0"/>
                <w:numId w:val="9"/>
              </w:num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s-CO"/>
              </w:rPr>
              <w:t>Brechas de aprendizaje étnico-raciales</w:t>
            </w:r>
          </w:p>
        </w:tc>
      </w:tr>
      <w:tr w:rsidR="627B0EF3" w:rsidTr="627B0EF3" w14:paraId="746B8BE8">
        <w:trPr>
          <w:trHeight w:val="300"/>
        </w:trPr>
        <w:tc>
          <w:tcPr>
            <w:tcW w:w="2030" w:type="dxa"/>
            <w:tcBorders>
              <w:top w:val="single" w:color="9CC2E5" w:sz="6"/>
              <w:left w:val="nil"/>
              <w:bottom w:val="single" w:color="9CC2E5" w:sz="6"/>
              <w:right w:val="single" w:color="9CC2E5" w:sz="6"/>
            </w:tcBorders>
            <w:tcMar>
              <w:left w:w="105" w:type="dxa"/>
              <w:right w:w="105" w:type="dxa"/>
            </w:tcMar>
            <w:vAlign w:val="center"/>
          </w:tcPr>
          <w:p w:rsidR="627B0EF3" w:rsidP="627B0EF3" w:rsidRDefault="627B0EF3" w14:paraId="4EE63AC8" w14:textId="2A5D39EF">
            <w:p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1"/>
                <w:bCs w:val="1"/>
                <w:i w:val="0"/>
                <w:iCs w:val="0"/>
                <w:color w:val="000000" w:themeColor="text1" w:themeTint="FF" w:themeShade="FF"/>
                <w:sz w:val="18"/>
                <w:szCs w:val="18"/>
                <w:lang w:val="en-US"/>
              </w:rPr>
              <w:t>Educación de calidad</w:t>
            </w:r>
            <w:r w:rsidRPr="627B0EF3" w:rsidR="627B0EF3">
              <w:rPr>
                <w:rFonts w:ascii="Verdana" w:hAnsi="Verdana" w:eastAsia="Verdana" w:cs="Verdana"/>
                <w:b w:val="1"/>
                <w:bCs w:val="1"/>
                <w:i w:val="0"/>
                <w:iCs w:val="0"/>
                <w:color w:val="000000" w:themeColor="text1" w:themeTint="FF" w:themeShade="FF"/>
                <w:sz w:val="18"/>
                <w:szCs w:val="18"/>
                <w:lang w:val="es-CO"/>
              </w:rPr>
              <w:t> </w:t>
            </w:r>
          </w:p>
        </w:tc>
        <w:tc>
          <w:tcPr>
            <w:tcW w:w="2730" w:type="dxa"/>
            <w:tcBorders>
              <w:top w:val="single" w:color="9CC2E5" w:sz="6"/>
              <w:left w:val="single" w:color="9CC2E5" w:sz="6"/>
              <w:bottom w:val="single" w:color="9CC2E5" w:sz="6"/>
              <w:right w:val="nil"/>
            </w:tcBorders>
            <w:tcMar>
              <w:left w:w="105" w:type="dxa"/>
              <w:right w:w="105" w:type="dxa"/>
            </w:tcMar>
            <w:vAlign w:val="top"/>
          </w:tcPr>
          <w:p w:rsidR="627B0EF3" w:rsidP="627B0EF3" w:rsidRDefault="627B0EF3" w14:paraId="5A38421C" w14:textId="03B8FF68">
            <w:pPr>
              <w:spacing w:line="279" w:lineRule="auto"/>
              <w:ind w:left="0"/>
              <w:jc w:val="both"/>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n-US"/>
              </w:rPr>
              <w:t>La educación de calidad es aquella que no solo garantiza el acceso a las instituciones educativas, sino que también asegura que los(as) estudiantes desarrollen aprendizajes significativos, habilidades clave para la vida y competencias que les permitan participar plenamente en la sociedad.</w:t>
            </w:r>
          </w:p>
        </w:tc>
        <w:tc>
          <w:tcPr>
            <w:tcW w:w="4074" w:type="dxa"/>
            <w:tcBorders>
              <w:top w:val="single" w:color="9CC2E5" w:sz="6"/>
              <w:left w:val="single" w:color="9CC2E5" w:sz="6"/>
              <w:bottom w:val="single" w:color="9CC2E5" w:sz="6"/>
              <w:right w:val="nil"/>
            </w:tcBorders>
            <w:tcMar>
              <w:left w:w="105" w:type="dxa"/>
              <w:right w:w="105" w:type="dxa"/>
            </w:tcMar>
            <w:vAlign w:val="top"/>
          </w:tcPr>
          <w:p w:rsidR="627B0EF3" w:rsidP="627B0EF3" w:rsidRDefault="627B0EF3" w14:paraId="022FF101" w14:textId="256645C0">
            <w:pPr>
              <w:pStyle w:val="Prrafodelista"/>
              <w:numPr>
                <w:ilvl w:val="0"/>
                <w:numId w:val="10"/>
              </w:num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n-US"/>
              </w:rPr>
              <w:t>Prácticas pedagógicas </w:t>
            </w:r>
            <w:r w:rsidRPr="627B0EF3" w:rsidR="627B0EF3">
              <w:rPr>
                <w:rFonts w:ascii="Verdana" w:hAnsi="Verdana" w:eastAsia="Verdana" w:cs="Verdana"/>
                <w:b w:val="0"/>
                <w:bCs w:val="0"/>
                <w:i w:val="0"/>
                <w:iCs w:val="0"/>
                <w:color w:val="000000" w:themeColor="text1" w:themeTint="FF" w:themeShade="FF"/>
                <w:sz w:val="18"/>
                <w:szCs w:val="18"/>
                <w:lang w:val="es-CO"/>
              </w:rPr>
              <w:t> </w:t>
            </w:r>
          </w:p>
          <w:p w:rsidR="627B0EF3" w:rsidP="627B0EF3" w:rsidRDefault="627B0EF3" w14:paraId="0F9D189A" w14:textId="316FCEA2">
            <w:pPr>
              <w:pStyle w:val="Prrafodelista"/>
              <w:numPr>
                <w:ilvl w:val="0"/>
                <w:numId w:val="11"/>
              </w:num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n-US"/>
              </w:rPr>
              <w:t>Currículo </w:t>
            </w:r>
            <w:r w:rsidRPr="627B0EF3" w:rsidR="627B0EF3">
              <w:rPr>
                <w:rFonts w:ascii="Verdana" w:hAnsi="Verdana" w:eastAsia="Verdana" w:cs="Verdana"/>
                <w:b w:val="0"/>
                <w:bCs w:val="0"/>
                <w:i w:val="0"/>
                <w:iCs w:val="0"/>
                <w:color w:val="000000" w:themeColor="text1" w:themeTint="FF" w:themeShade="FF"/>
                <w:sz w:val="18"/>
                <w:szCs w:val="18"/>
                <w:lang w:val="es-CO"/>
              </w:rPr>
              <w:t> </w:t>
            </w:r>
          </w:p>
          <w:p w:rsidR="627B0EF3" w:rsidP="627B0EF3" w:rsidRDefault="627B0EF3" w14:paraId="60A6A9CC" w14:textId="1819160B">
            <w:pPr>
              <w:pStyle w:val="Prrafodelista"/>
              <w:numPr>
                <w:ilvl w:val="0"/>
                <w:numId w:val="12"/>
              </w:num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s-CO"/>
              </w:rPr>
              <w:t>Formación y acompañamiento a docentes y directivos (as)</w:t>
            </w:r>
          </w:p>
          <w:p w:rsidR="627B0EF3" w:rsidP="627B0EF3" w:rsidRDefault="627B0EF3" w14:paraId="2A2E8D62" w14:textId="2C06A9ED">
            <w:pPr>
              <w:pStyle w:val="Prrafodelista"/>
              <w:numPr>
                <w:ilvl w:val="0"/>
                <w:numId w:val="13"/>
              </w:num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s-CO"/>
              </w:rPr>
              <w:t>Clima escolar y entornos protectores  </w:t>
            </w:r>
          </w:p>
          <w:p w:rsidR="627B0EF3" w:rsidP="627B0EF3" w:rsidRDefault="627B0EF3" w14:paraId="73BEBBF3" w14:textId="74B2C391">
            <w:pPr>
              <w:pStyle w:val="Prrafodelista"/>
              <w:numPr>
                <w:ilvl w:val="0"/>
                <w:numId w:val="13"/>
              </w:num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s-CO"/>
              </w:rPr>
              <w:t>Evaluación formativa y sistemas de medición del aprendizaje</w:t>
            </w:r>
          </w:p>
        </w:tc>
      </w:tr>
      <w:tr w:rsidR="627B0EF3" w:rsidTr="627B0EF3" w14:paraId="172C6061">
        <w:trPr>
          <w:trHeight w:val="300"/>
        </w:trPr>
        <w:tc>
          <w:tcPr>
            <w:tcW w:w="2030" w:type="dxa"/>
            <w:tcBorders>
              <w:top w:val="single" w:color="9CC2E5" w:sz="6"/>
              <w:left w:val="nil"/>
              <w:bottom w:val="single" w:color="9CC2E5" w:sz="6"/>
              <w:right w:val="single" w:color="9CC2E5" w:sz="6"/>
            </w:tcBorders>
            <w:shd w:val="clear" w:color="auto" w:fill="D0CECE"/>
            <w:tcMar>
              <w:left w:w="105" w:type="dxa"/>
              <w:right w:w="105" w:type="dxa"/>
            </w:tcMar>
            <w:vAlign w:val="center"/>
          </w:tcPr>
          <w:p w:rsidR="627B0EF3" w:rsidP="627B0EF3" w:rsidRDefault="627B0EF3" w14:paraId="4CFC5A4F" w14:textId="63862151">
            <w:p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1"/>
                <w:bCs w:val="1"/>
                <w:i w:val="0"/>
                <w:iCs w:val="0"/>
                <w:color w:val="000000" w:themeColor="text1" w:themeTint="FF" w:themeShade="FF"/>
                <w:sz w:val="18"/>
                <w:szCs w:val="18"/>
                <w:lang w:val="es-CO"/>
              </w:rPr>
              <w:t>Educación y desarrollo humano integral </w:t>
            </w:r>
          </w:p>
        </w:tc>
        <w:tc>
          <w:tcPr>
            <w:tcW w:w="2730" w:type="dxa"/>
            <w:tcBorders>
              <w:top w:val="single" w:color="9CC2E5" w:sz="6"/>
              <w:left w:val="single" w:color="9CC2E5" w:sz="6"/>
              <w:bottom w:val="single" w:color="9CC2E5" w:sz="6"/>
              <w:right w:val="nil"/>
            </w:tcBorders>
            <w:shd w:val="clear" w:color="auto" w:fill="D0CECE"/>
            <w:tcMar>
              <w:left w:w="105" w:type="dxa"/>
              <w:right w:w="105" w:type="dxa"/>
            </w:tcMar>
            <w:vAlign w:val="top"/>
          </w:tcPr>
          <w:p w:rsidR="627B0EF3" w:rsidP="627B0EF3" w:rsidRDefault="627B0EF3" w14:paraId="430A1EFF" w14:textId="2CCB7C93">
            <w:pPr>
              <w:spacing w:line="279" w:lineRule="auto"/>
              <w:ind w:left="0"/>
              <w:jc w:val="both"/>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s-CO"/>
              </w:rPr>
              <w:t>Esta categoría reconoce la educación como un proceso fundamental para el desarrollo humano en sus múltiples dimensiones: cognitiva, emocional, social, ética y física. Bajo esta categoría se entiende que la educación no se limita al desarrollo de las competencias básicas, sino que busca formar ciudadanos(as) autónomos, críticos, solidarios(as) y comprometidos con su entorno y la democracia.</w:t>
            </w:r>
          </w:p>
        </w:tc>
        <w:tc>
          <w:tcPr>
            <w:tcW w:w="4074" w:type="dxa"/>
            <w:tcBorders>
              <w:top w:val="single" w:color="9CC2E5" w:sz="6"/>
              <w:left w:val="single" w:color="9CC2E5" w:sz="6"/>
              <w:bottom w:val="single" w:color="9CC2E5" w:sz="6"/>
              <w:right w:val="nil"/>
            </w:tcBorders>
            <w:shd w:val="clear" w:color="auto" w:fill="D0CECE"/>
            <w:tcMar>
              <w:left w:w="105" w:type="dxa"/>
              <w:right w:w="105" w:type="dxa"/>
            </w:tcMar>
            <w:vAlign w:val="top"/>
          </w:tcPr>
          <w:p w:rsidR="627B0EF3" w:rsidP="627B0EF3" w:rsidRDefault="627B0EF3" w14:paraId="09C02EDC" w14:textId="4F014E48">
            <w:pPr>
              <w:pStyle w:val="Prrafodelista"/>
              <w:numPr>
                <w:ilvl w:val="0"/>
                <w:numId w:val="14"/>
              </w:num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s-CO"/>
              </w:rPr>
              <w:t>Desarrollo socioemocional, salud mental y competencias ciudadanas y éticas</w:t>
            </w:r>
          </w:p>
          <w:p w:rsidR="627B0EF3" w:rsidP="627B0EF3" w:rsidRDefault="627B0EF3" w14:paraId="6F0DAB01" w14:textId="397CCF3C">
            <w:pPr>
              <w:pStyle w:val="Prrafodelista"/>
              <w:numPr>
                <w:ilvl w:val="0"/>
                <w:numId w:val="15"/>
              </w:num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s-CO"/>
              </w:rPr>
              <w:t>Otros dominios de aprendizaje:  potencial creativo, pensamiento crítico y otras habilidades para el siglo XXI, entre otros</w:t>
            </w:r>
          </w:p>
          <w:p w:rsidR="627B0EF3" w:rsidP="627B0EF3" w:rsidRDefault="627B0EF3" w14:paraId="37A393BB" w14:textId="5F97AE77">
            <w:pPr>
              <w:pStyle w:val="Prrafodelista"/>
              <w:numPr>
                <w:ilvl w:val="0"/>
                <w:numId w:val="15"/>
              </w:num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n-US"/>
              </w:rPr>
              <w:t>Desarrollo físico y hábitos saludables</w:t>
            </w:r>
          </w:p>
          <w:p w:rsidR="627B0EF3" w:rsidP="627B0EF3" w:rsidRDefault="627B0EF3" w14:paraId="42B27F36" w14:textId="451E0875">
            <w:pPr>
              <w:pStyle w:val="Prrafodelista"/>
              <w:numPr>
                <w:ilvl w:val="0"/>
                <w:numId w:val="16"/>
              </w:num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s-CO"/>
              </w:rPr>
              <w:t xml:space="preserve">Aprendizaje a lo largo de la vida: primera infancia, educación post-secundaria </w:t>
            </w:r>
          </w:p>
          <w:p w:rsidR="627B0EF3" w:rsidP="627B0EF3" w:rsidRDefault="627B0EF3" w14:paraId="0E812368" w14:textId="1BEE6336">
            <w:pPr>
              <w:pStyle w:val="Prrafodelista"/>
              <w:numPr>
                <w:ilvl w:val="0"/>
                <w:numId w:val="16"/>
              </w:num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s-CO"/>
              </w:rPr>
              <w:t>Formación integral (educación ambiental, educación en sexualidad, artes, deportes, TIC, bilingüismo, entre otros).</w:t>
            </w:r>
          </w:p>
        </w:tc>
      </w:tr>
      <w:tr w:rsidR="627B0EF3" w:rsidTr="627B0EF3" w14:paraId="0841BDD6">
        <w:trPr>
          <w:trHeight w:val="300"/>
        </w:trPr>
        <w:tc>
          <w:tcPr>
            <w:tcW w:w="2030" w:type="dxa"/>
            <w:tcBorders>
              <w:top w:val="single" w:color="9CC2E5" w:sz="6"/>
              <w:left w:val="nil"/>
              <w:bottom w:val="single" w:color="9CC2E5" w:sz="6"/>
              <w:right w:val="single" w:color="9CC2E5" w:sz="6"/>
            </w:tcBorders>
            <w:tcMar>
              <w:left w:w="105" w:type="dxa"/>
              <w:right w:w="105" w:type="dxa"/>
            </w:tcMar>
            <w:vAlign w:val="top"/>
          </w:tcPr>
          <w:p w:rsidR="627B0EF3" w:rsidP="627B0EF3" w:rsidRDefault="627B0EF3" w14:paraId="21CD442C" w14:textId="5C81F4EA">
            <w:p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1"/>
                <w:bCs w:val="1"/>
                <w:i w:val="0"/>
                <w:iCs w:val="0"/>
                <w:color w:val="000000" w:themeColor="text1" w:themeTint="FF" w:themeShade="FF"/>
                <w:sz w:val="18"/>
                <w:szCs w:val="18"/>
                <w:lang w:val="en-US"/>
              </w:rPr>
              <w:t>Educación en contexto</w:t>
            </w:r>
            <w:r w:rsidRPr="627B0EF3" w:rsidR="627B0EF3">
              <w:rPr>
                <w:rFonts w:ascii="Verdana" w:hAnsi="Verdana" w:eastAsia="Verdana" w:cs="Verdana"/>
                <w:b w:val="1"/>
                <w:bCs w:val="1"/>
                <w:i w:val="0"/>
                <w:iCs w:val="0"/>
                <w:color w:val="000000" w:themeColor="text1" w:themeTint="FF" w:themeShade="FF"/>
                <w:sz w:val="18"/>
                <w:szCs w:val="18"/>
                <w:lang w:val="es-CO"/>
              </w:rPr>
              <w:t> </w:t>
            </w:r>
          </w:p>
        </w:tc>
        <w:tc>
          <w:tcPr>
            <w:tcW w:w="2730" w:type="dxa"/>
            <w:tcBorders>
              <w:top w:val="single" w:color="9CC2E5" w:sz="6"/>
              <w:left w:val="single" w:color="9CC2E5" w:sz="6"/>
              <w:bottom w:val="single" w:color="9CC2E5" w:sz="6"/>
              <w:right w:val="nil"/>
            </w:tcBorders>
            <w:tcMar>
              <w:left w:w="105" w:type="dxa"/>
              <w:right w:w="105" w:type="dxa"/>
            </w:tcMar>
            <w:vAlign w:val="top"/>
          </w:tcPr>
          <w:p w:rsidR="627B0EF3" w:rsidP="627B0EF3" w:rsidRDefault="627B0EF3" w14:paraId="1359F837" w14:textId="5DBD2824">
            <w:pPr>
              <w:spacing w:line="279" w:lineRule="auto"/>
              <w:ind w:left="0"/>
              <w:jc w:val="both"/>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n-US"/>
              </w:rPr>
              <w:t>Se refiere a las investigaciones que indagan por las particularidades del contexto y al momento histórico de un grupo social, una comunidad o la sociedad colombiana en general.</w:t>
            </w:r>
          </w:p>
        </w:tc>
        <w:tc>
          <w:tcPr>
            <w:tcW w:w="4074" w:type="dxa"/>
            <w:tcBorders>
              <w:top w:val="single" w:color="9CC2E5" w:sz="6"/>
              <w:left w:val="single" w:color="9CC2E5" w:sz="6"/>
              <w:bottom w:val="single" w:color="9CC2E5" w:sz="6"/>
              <w:right w:val="nil"/>
            </w:tcBorders>
            <w:tcMar>
              <w:left w:w="105" w:type="dxa"/>
              <w:right w:w="105" w:type="dxa"/>
            </w:tcMar>
            <w:vAlign w:val="top"/>
          </w:tcPr>
          <w:p w:rsidR="627B0EF3" w:rsidP="627B0EF3" w:rsidRDefault="627B0EF3" w14:paraId="4110E962" w14:textId="5AEA86C2">
            <w:pPr>
              <w:pStyle w:val="Prrafodelista"/>
              <w:numPr>
                <w:ilvl w:val="0"/>
                <w:numId w:val="17"/>
              </w:num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n-US"/>
              </w:rPr>
              <w:t>Pandemia por Covid-19 </w:t>
            </w:r>
            <w:r w:rsidRPr="627B0EF3" w:rsidR="627B0EF3">
              <w:rPr>
                <w:rFonts w:ascii="Verdana" w:hAnsi="Verdana" w:eastAsia="Verdana" w:cs="Verdana"/>
                <w:b w:val="0"/>
                <w:bCs w:val="0"/>
                <w:i w:val="0"/>
                <w:iCs w:val="0"/>
                <w:color w:val="000000" w:themeColor="text1" w:themeTint="FF" w:themeShade="FF"/>
                <w:sz w:val="18"/>
                <w:szCs w:val="18"/>
                <w:lang w:val="es-CO"/>
              </w:rPr>
              <w:t> </w:t>
            </w:r>
          </w:p>
          <w:p w:rsidR="627B0EF3" w:rsidP="627B0EF3" w:rsidRDefault="627B0EF3" w14:paraId="7B8CBE96" w14:textId="4EF9313D">
            <w:pPr>
              <w:pStyle w:val="Prrafodelista"/>
              <w:numPr>
                <w:ilvl w:val="0"/>
                <w:numId w:val="18"/>
              </w:num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n-US"/>
              </w:rPr>
              <w:t>Migración y desplazamiento</w:t>
            </w:r>
            <w:r w:rsidRPr="627B0EF3" w:rsidR="627B0EF3">
              <w:rPr>
                <w:rFonts w:ascii="Verdana" w:hAnsi="Verdana" w:eastAsia="Verdana" w:cs="Verdana"/>
                <w:b w:val="0"/>
                <w:bCs w:val="0"/>
                <w:i w:val="0"/>
                <w:iCs w:val="0"/>
                <w:color w:val="000000" w:themeColor="text1" w:themeTint="FF" w:themeShade="FF"/>
                <w:sz w:val="18"/>
                <w:szCs w:val="18"/>
                <w:lang w:val="es-CO"/>
              </w:rPr>
              <w:t> </w:t>
            </w:r>
          </w:p>
          <w:p w:rsidR="627B0EF3" w:rsidP="627B0EF3" w:rsidRDefault="627B0EF3" w14:paraId="33E2AE55" w14:textId="76A7E4B7">
            <w:pPr>
              <w:pStyle w:val="Prrafodelista"/>
              <w:numPr>
                <w:ilvl w:val="0"/>
                <w:numId w:val="19"/>
              </w:num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n-US"/>
              </w:rPr>
              <w:t>Conflicto interno armado  </w:t>
            </w:r>
            <w:r w:rsidRPr="627B0EF3" w:rsidR="627B0EF3">
              <w:rPr>
                <w:rFonts w:ascii="Verdana" w:hAnsi="Verdana" w:eastAsia="Verdana" w:cs="Verdana"/>
                <w:b w:val="0"/>
                <w:bCs w:val="0"/>
                <w:i w:val="0"/>
                <w:iCs w:val="0"/>
                <w:color w:val="000000" w:themeColor="text1" w:themeTint="FF" w:themeShade="FF"/>
                <w:sz w:val="18"/>
                <w:szCs w:val="18"/>
                <w:lang w:val="es-CO"/>
              </w:rPr>
              <w:t> </w:t>
            </w:r>
          </w:p>
          <w:p w:rsidR="627B0EF3" w:rsidP="627B0EF3" w:rsidRDefault="627B0EF3" w14:paraId="61E88492" w14:textId="1CD29B7C">
            <w:pPr>
              <w:pStyle w:val="Prrafodelista"/>
              <w:numPr>
                <w:ilvl w:val="0"/>
                <w:numId w:val="19"/>
              </w:num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s-CO"/>
              </w:rPr>
              <w:t xml:space="preserve">Aprendizaje en contextos de emergencia </w:t>
            </w:r>
          </w:p>
        </w:tc>
      </w:tr>
    </w:tbl>
    <w:p w:rsidRPr="005470D0" w:rsidR="00385584" w:rsidP="627B0EF3" w:rsidRDefault="00385584" w14:paraId="5E13D8AC" w14:textId="30B196A0">
      <w:pPr>
        <w:spacing w:line="279" w:lineRule="auto"/>
        <w:rPr>
          <w:rFonts w:ascii="Verdana" w:hAnsi="Verdana" w:eastAsia="Verdana" w:cs="Verdana"/>
          <w:b w:val="0"/>
          <w:bCs w:val="0"/>
          <w:i w:val="0"/>
          <w:iCs w:val="0"/>
          <w:caps w:val="0"/>
          <w:smallCaps w:val="0"/>
          <w:noProof w:val="0"/>
          <w:color w:val="000000" w:themeColor="text1" w:themeTint="FF" w:themeShade="FF"/>
          <w:sz w:val="18"/>
          <w:szCs w:val="18"/>
          <w:lang w:val="es-CO"/>
        </w:rPr>
      </w:pPr>
    </w:p>
    <w:p w:rsidRPr="005470D0" w:rsidR="00385584" w:rsidP="627B0EF3" w:rsidRDefault="00385584" w14:paraId="48AE728A" w14:textId="7ABD61D9">
      <w:pPr>
        <w:spacing w:line="279" w:lineRule="auto"/>
        <w:ind w:left="450" w:hanging="0"/>
        <w:rPr>
          <w:rFonts w:ascii="Verdana" w:hAnsi="Verdana" w:eastAsia="Verdana" w:cs="Verdana"/>
          <w:b w:val="0"/>
          <w:bCs w:val="0"/>
          <w:i w:val="0"/>
          <w:iCs w:val="0"/>
          <w:caps w:val="0"/>
          <w:smallCaps w:val="0"/>
          <w:noProof w:val="0"/>
          <w:color w:val="000000" w:themeColor="text1" w:themeTint="FF" w:themeShade="FF"/>
          <w:sz w:val="18"/>
          <w:szCs w:val="18"/>
          <w:lang w:val="es-CO"/>
        </w:rPr>
      </w:pPr>
      <w:r w:rsidRPr="627B0EF3" w:rsidR="1D8EB1C3">
        <w:rPr>
          <w:rFonts w:ascii="Verdana" w:hAnsi="Verdana" w:eastAsia="Verdana" w:cs="Verdana"/>
          <w:b w:val="1"/>
          <w:bCs w:val="1"/>
          <w:i w:val="0"/>
          <w:iCs w:val="0"/>
          <w:caps w:val="0"/>
          <w:smallCaps w:val="0"/>
          <w:noProof w:val="0"/>
          <w:color w:val="000000" w:themeColor="text1" w:themeTint="FF" w:themeShade="FF"/>
          <w:sz w:val="18"/>
          <w:szCs w:val="18"/>
          <w:lang w:val="es-ES"/>
        </w:rPr>
        <w:t xml:space="preserve">3. </w:t>
      </w:r>
      <w:r>
        <w:tab/>
      </w:r>
      <w:r w:rsidRPr="627B0EF3" w:rsidR="1D8EB1C3">
        <w:rPr>
          <w:rFonts w:ascii="Verdana" w:hAnsi="Verdana" w:eastAsia="Verdana" w:cs="Verdana"/>
          <w:b w:val="1"/>
          <w:bCs w:val="1"/>
          <w:i w:val="0"/>
          <w:iCs w:val="0"/>
          <w:caps w:val="0"/>
          <w:smallCaps w:val="0"/>
          <w:noProof w:val="0"/>
          <w:color w:val="000000" w:themeColor="text1" w:themeTint="FF" w:themeShade="FF"/>
          <w:sz w:val="18"/>
          <w:szCs w:val="18"/>
          <w:lang w:val="es-ES"/>
        </w:rPr>
        <w:t>Líneas priorizadas por el Ministerio de Educación Nacional de acuerdo con el Plan Nacional de Desarrollo 2022-2026</w:t>
      </w:r>
    </w:p>
    <w:p w:rsidRPr="005470D0" w:rsidR="00385584" w:rsidP="627B0EF3" w:rsidRDefault="00385584" w14:paraId="7249CC4C" w14:textId="74B2F7C8">
      <w:pPr>
        <w:spacing w:line="279" w:lineRule="auto"/>
        <w:ind w:left="450" w:hanging="0"/>
        <w:rPr>
          <w:rFonts w:ascii="Verdana" w:hAnsi="Verdana" w:eastAsia="Verdana" w:cs="Verdana"/>
          <w:b w:val="0"/>
          <w:bCs w:val="0"/>
          <w:i w:val="0"/>
          <w:iCs w:val="0"/>
          <w:caps w:val="0"/>
          <w:smallCaps w:val="0"/>
          <w:noProof w:val="0"/>
          <w:color w:val="000000" w:themeColor="text1" w:themeTint="FF" w:themeShade="FF"/>
          <w:sz w:val="18"/>
          <w:szCs w:val="18"/>
          <w:lang w:val="es-CO"/>
        </w:rPr>
      </w:pPr>
    </w:p>
    <w:p w:rsidRPr="005470D0" w:rsidR="00385584" w:rsidP="627B0EF3" w:rsidRDefault="00385584" w14:paraId="44D1F34E" w14:textId="35DFBCCA">
      <w:pPr>
        <w:pStyle w:val="Prrafodelista"/>
        <w:numPr>
          <w:ilvl w:val="0"/>
          <w:numId w:val="20"/>
        </w:numPr>
        <w:spacing w:line="279" w:lineRule="auto"/>
        <w:jc w:val="both"/>
        <w:rPr>
          <w:rFonts w:ascii="Verdana" w:hAnsi="Verdana" w:eastAsia="Verdana" w:cs="Verdana"/>
          <w:b w:val="0"/>
          <w:bCs w:val="0"/>
          <w:i w:val="0"/>
          <w:iCs w:val="0"/>
          <w:caps w:val="0"/>
          <w:smallCaps w:val="0"/>
          <w:noProof w:val="0"/>
          <w:color w:val="000000" w:themeColor="text1" w:themeTint="FF" w:themeShade="FF"/>
          <w:sz w:val="18"/>
          <w:szCs w:val="18"/>
          <w:lang w:val="es-CO"/>
        </w:rPr>
      </w:pPr>
      <w:r w:rsidRPr="627B0EF3" w:rsidR="1D8EB1C3">
        <w:rPr>
          <w:rFonts w:ascii="Verdana" w:hAnsi="Verdana" w:eastAsia="Verdana" w:cs="Verdana"/>
          <w:b w:val="0"/>
          <w:bCs w:val="0"/>
          <w:i w:val="0"/>
          <w:iCs w:val="0"/>
          <w:caps w:val="0"/>
          <w:smallCaps w:val="0"/>
          <w:noProof w:val="0"/>
          <w:color w:val="000000" w:themeColor="text1" w:themeTint="FF" w:themeShade="FF"/>
          <w:sz w:val="18"/>
          <w:szCs w:val="18"/>
          <w:lang w:val="es-ES"/>
        </w:rPr>
        <w:t xml:space="preserve">Educación inicial en el marco de la atención integral a los tres grados de preescolar </w:t>
      </w:r>
    </w:p>
    <w:p w:rsidRPr="005470D0" w:rsidR="00385584" w:rsidP="627B0EF3" w:rsidRDefault="00385584" w14:paraId="0B787B55" w14:textId="266CFAD5">
      <w:pPr>
        <w:pStyle w:val="Prrafodelista"/>
        <w:numPr>
          <w:ilvl w:val="0"/>
          <w:numId w:val="20"/>
        </w:numPr>
        <w:spacing w:line="279" w:lineRule="auto"/>
        <w:rPr>
          <w:rFonts w:ascii="Verdana" w:hAnsi="Verdana" w:eastAsia="Verdana" w:cs="Verdana"/>
          <w:b w:val="0"/>
          <w:bCs w:val="0"/>
          <w:i w:val="0"/>
          <w:iCs w:val="0"/>
          <w:caps w:val="0"/>
          <w:smallCaps w:val="0"/>
          <w:noProof w:val="0"/>
          <w:color w:val="000000" w:themeColor="text1" w:themeTint="FF" w:themeShade="FF"/>
          <w:sz w:val="18"/>
          <w:szCs w:val="18"/>
          <w:lang w:val="es-CO"/>
        </w:rPr>
      </w:pPr>
      <w:r w:rsidRPr="627B0EF3" w:rsidR="1D8EB1C3">
        <w:rPr>
          <w:rFonts w:ascii="Verdana" w:hAnsi="Verdana" w:eastAsia="Verdana" w:cs="Verdana"/>
          <w:b w:val="0"/>
          <w:bCs w:val="0"/>
          <w:i w:val="0"/>
          <w:iCs w:val="0"/>
          <w:caps w:val="0"/>
          <w:smallCaps w:val="0"/>
          <w:noProof w:val="0"/>
          <w:color w:val="000000" w:themeColor="text1" w:themeTint="FF" w:themeShade="FF"/>
          <w:sz w:val="18"/>
          <w:szCs w:val="18"/>
          <w:lang w:val="es-ES"/>
        </w:rPr>
        <w:t xml:space="preserve">Condiciones estructurales para la garantía del derecho a la educación de calidad  </w:t>
      </w:r>
    </w:p>
    <w:p w:rsidRPr="005470D0" w:rsidR="00385584" w:rsidP="627B0EF3" w:rsidRDefault="00385584" w14:paraId="53666957" w14:textId="6CD86676">
      <w:pPr>
        <w:pStyle w:val="Prrafodelista"/>
        <w:numPr>
          <w:ilvl w:val="0"/>
          <w:numId w:val="20"/>
        </w:numPr>
        <w:spacing w:line="279" w:lineRule="auto"/>
        <w:jc w:val="both"/>
        <w:rPr>
          <w:rFonts w:ascii="Verdana" w:hAnsi="Verdana" w:eastAsia="Verdana" w:cs="Verdana"/>
          <w:b w:val="0"/>
          <w:bCs w:val="0"/>
          <w:i w:val="0"/>
          <w:iCs w:val="0"/>
          <w:caps w:val="0"/>
          <w:smallCaps w:val="0"/>
          <w:noProof w:val="0"/>
          <w:color w:val="000000" w:themeColor="text1" w:themeTint="FF" w:themeShade="FF"/>
          <w:sz w:val="18"/>
          <w:szCs w:val="18"/>
          <w:lang w:val="es-CO"/>
        </w:rPr>
      </w:pPr>
      <w:r w:rsidRPr="627B0EF3" w:rsidR="1D8EB1C3">
        <w:rPr>
          <w:rFonts w:ascii="Verdana" w:hAnsi="Verdana" w:eastAsia="Verdana" w:cs="Verdana"/>
          <w:b w:val="0"/>
          <w:bCs w:val="0"/>
          <w:i w:val="0"/>
          <w:iCs w:val="0"/>
          <w:caps w:val="0"/>
          <w:smallCaps w:val="0"/>
          <w:noProof w:val="0"/>
          <w:color w:val="000000" w:themeColor="text1" w:themeTint="FF" w:themeShade="FF"/>
          <w:sz w:val="18"/>
          <w:szCs w:val="18"/>
          <w:lang w:val="es-ES"/>
        </w:rPr>
        <w:t xml:space="preserve">Formación integral y educación CRESE (ciudadana, para la reconciliación, antirracista, socioemocional y para el cambio climático). </w:t>
      </w:r>
    </w:p>
    <w:p w:rsidRPr="005470D0" w:rsidR="00385584" w:rsidP="627B0EF3" w:rsidRDefault="00385584" w14:paraId="734BAD65" w14:textId="3FA4D7DC">
      <w:pPr>
        <w:pStyle w:val="Prrafodelista"/>
        <w:numPr>
          <w:ilvl w:val="0"/>
          <w:numId w:val="20"/>
        </w:numPr>
        <w:spacing w:line="279" w:lineRule="auto"/>
        <w:jc w:val="both"/>
        <w:rPr>
          <w:rFonts w:ascii="Verdana" w:hAnsi="Verdana" w:eastAsia="Verdana" w:cs="Verdana"/>
          <w:b w:val="0"/>
          <w:bCs w:val="0"/>
          <w:i w:val="0"/>
          <w:iCs w:val="0"/>
          <w:caps w:val="0"/>
          <w:smallCaps w:val="0"/>
          <w:noProof w:val="0"/>
          <w:color w:val="000000" w:themeColor="text1" w:themeTint="FF" w:themeShade="FF"/>
          <w:sz w:val="18"/>
          <w:szCs w:val="18"/>
          <w:lang w:val="es-CO"/>
        </w:rPr>
      </w:pPr>
      <w:r w:rsidRPr="627B0EF3" w:rsidR="1D8EB1C3">
        <w:rPr>
          <w:rFonts w:ascii="Verdana" w:hAnsi="Verdana" w:eastAsia="Verdana" w:cs="Verdana"/>
          <w:b w:val="0"/>
          <w:bCs w:val="0"/>
          <w:i w:val="0"/>
          <w:iCs w:val="0"/>
          <w:caps w:val="0"/>
          <w:smallCaps w:val="0"/>
          <w:noProof w:val="0"/>
          <w:color w:val="000000" w:themeColor="text1" w:themeTint="FF" w:themeShade="FF"/>
          <w:sz w:val="18"/>
          <w:szCs w:val="18"/>
          <w:lang w:val="es-ES"/>
        </w:rPr>
        <w:t>Jornada escolar y transformación pedagógica para una educación integral con proyectos educativos institucionales (PEI) y proyectos educativos comunitarios (PEC) pertinentes</w:t>
      </w:r>
    </w:p>
    <w:p w:rsidRPr="005470D0" w:rsidR="00385584" w:rsidP="627B0EF3" w:rsidRDefault="00385584" w14:paraId="0764DA67" w14:textId="67816D0A">
      <w:pPr>
        <w:pStyle w:val="Prrafodelista"/>
        <w:numPr>
          <w:ilvl w:val="0"/>
          <w:numId w:val="20"/>
        </w:numPr>
        <w:spacing w:line="279" w:lineRule="auto"/>
        <w:jc w:val="both"/>
        <w:rPr>
          <w:rFonts w:ascii="Verdana" w:hAnsi="Verdana" w:eastAsia="Verdana" w:cs="Verdana"/>
          <w:b w:val="0"/>
          <w:bCs w:val="0"/>
          <w:i w:val="0"/>
          <w:iCs w:val="0"/>
          <w:caps w:val="0"/>
          <w:smallCaps w:val="0"/>
          <w:noProof w:val="0"/>
          <w:color w:val="000000" w:themeColor="text1" w:themeTint="FF" w:themeShade="FF"/>
          <w:sz w:val="18"/>
          <w:szCs w:val="18"/>
          <w:lang w:val="es-CO"/>
        </w:rPr>
      </w:pPr>
      <w:r w:rsidRPr="627B0EF3" w:rsidR="1D8EB1C3">
        <w:rPr>
          <w:rFonts w:ascii="Verdana" w:hAnsi="Verdana" w:eastAsia="Verdana" w:cs="Verdana"/>
          <w:b w:val="0"/>
          <w:bCs w:val="0"/>
          <w:i w:val="0"/>
          <w:iCs w:val="0"/>
          <w:caps w:val="0"/>
          <w:smallCaps w:val="0"/>
          <w:noProof w:val="0"/>
          <w:color w:val="000000" w:themeColor="text1" w:themeTint="FF" w:themeShade="FF"/>
          <w:sz w:val="18"/>
          <w:szCs w:val="18"/>
          <w:lang w:val="es-ES"/>
        </w:rPr>
        <w:t xml:space="preserve">Formación docente </w:t>
      </w:r>
    </w:p>
    <w:p w:rsidRPr="005470D0" w:rsidR="00385584" w:rsidP="627B0EF3" w:rsidRDefault="00385584" w14:paraId="2086496D" w14:textId="14F94BC7">
      <w:pPr>
        <w:pStyle w:val="Prrafodelista"/>
        <w:numPr>
          <w:ilvl w:val="0"/>
          <w:numId w:val="20"/>
        </w:numPr>
        <w:spacing w:line="279" w:lineRule="auto"/>
        <w:jc w:val="both"/>
        <w:rPr>
          <w:rFonts w:ascii="Verdana" w:hAnsi="Verdana" w:eastAsia="Verdana" w:cs="Verdana"/>
          <w:b w:val="0"/>
          <w:bCs w:val="0"/>
          <w:i w:val="0"/>
          <w:iCs w:val="0"/>
          <w:caps w:val="0"/>
          <w:smallCaps w:val="0"/>
          <w:noProof w:val="0"/>
          <w:color w:val="000000" w:themeColor="text1" w:themeTint="FF" w:themeShade="FF"/>
          <w:sz w:val="18"/>
          <w:szCs w:val="18"/>
          <w:lang w:val="es-CO"/>
        </w:rPr>
      </w:pPr>
      <w:r w:rsidRPr="627B0EF3" w:rsidR="1D8EB1C3">
        <w:rPr>
          <w:rFonts w:ascii="Verdana" w:hAnsi="Verdana" w:eastAsia="Verdana" w:cs="Verdana"/>
          <w:b w:val="0"/>
          <w:bCs w:val="0"/>
          <w:i w:val="0"/>
          <w:iCs w:val="0"/>
          <w:caps w:val="0"/>
          <w:smallCaps w:val="0"/>
          <w:noProof w:val="0"/>
          <w:color w:val="000000" w:themeColor="text1" w:themeTint="FF" w:themeShade="FF"/>
          <w:sz w:val="18"/>
          <w:szCs w:val="18"/>
          <w:lang w:val="es-ES"/>
        </w:rPr>
        <w:t xml:space="preserve">Trayectorias educativas y tránsitos de la educación básica a la educación media y a la superior </w:t>
      </w:r>
    </w:p>
    <w:p w:rsidRPr="005470D0" w:rsidR="00385584" w:rsidP="627B0EF3" w:rsidRDefault="00385584" w14:paraId="11227FE3" w14:textId="0E8876D7">
      <w:pPr>
        <w:pStyle w:val="Prrafodelista"/>
        <w:numPr>
          <w:ilvl w:val="0"/>
          <w:numId w:val="20"/>
        </w:numPr>
        <w:spacing w:line="279" w:lineRule="auto"/>
        <w:jc w:val="both"/>
        <w:rPr>
          <w:rFonts w:ascii="Verdana" w:hAnsi="Verdana" w:eastAsia="Verdana" w:cs="Verdana"/>
          <w:b w:val="0"/>
          <w:bCs w:val="0"/>
          <w:i w:val="0"/>
          <w:iCs w:val="0"/>
          <w:caps w:val="0"/>
          <w:smallCaps w:val="0"/>
          <w:noProof w:val="0"/>
          <w:color w:val="000000" w:themeColor="text1" w:themeTint="FF" w:themeShade="FF"/>
          <w:sz w:val="18"/>
          <w:szCs w:val="18"/>
          <w:lang w:val="es-CO"/>
        </w:rPr>
      </w:pPr>
      <w:r w:rsidRPr="627B0EF3" w:rsidR="1D8EB1C3">
        <w:rPr>
          <w:rFonts w:ascii="Verdana" w:hAnsi="Verdana" w:eastAsia="Verdana" w:cs="Verdana"/>
          <w:b w:val="0"/>
          <w:bCs w:val="0"/>
          <w:i w:val="0"/>
          <w:iCs w:val="0"/>
          <w:caps w:val="0"/>
          <w:smallCaps w:val="0"/>
          <w:noProof w:val="0"/>
          <w:color w:val="000000" w:themeColor="text1" w:themeTint="FF" w:themeShade="FF"/>
          <w:sz w:val="18"/>
          <w:szCs w:val="18"/>
          <w:lang w:val="es-ES"/>
        </w:rPr>
        <w:t xml:space="preserve">Alfabetización y educación de jóvenes y adultos </w:t>
      </w:r>
    </w:p>
    <w:p w:rsidRPr="005470D0" w:rsidR="00385584" w:rsidP="627B0EF3" w:rsidRDefault="00385584" w14:paraId="44E92DC6" w14:textId="7F42D488">
      <w:pPr>
        <w:pStyle w:val="Prrafodelista"/>
        <w:numPr>
          <w:ilvl w:val="0"/>
          <w:numId w:val="20"/>
        </w:numPr>
        <w:spacing w:line="279" w:lineRule="auto"/>
        <w:jc w:val="both"/>
        <w:rPr>
          <w:rFonts w:ascii="Verdana" w:hAnsi="Verdana" w:eastAsia="Verdana" w:cs="Verdana"/>
          <w:b w:val="0"/>
          <w:bCs w:val="0"/>
          <w:i w:val="0"/>
          <w:iCs w:val="0"/>
          <w:caps w:val="0"/>
          <w:smallCaps w:val="0"/>
          <w:noProof w:val="0"/>
          <w:color w:val="000000" w:themeColor="text1" w:themeTint="FF" w:themeShade="FF"/>
          <w:sz w:val="18"/>
          <w:szCs w:val="18"/>
          <w:lang w:val="es-CO"/>
        </w:rPr>
      </w:pPr>
      <w:r w:rsidRPr="627B0EF3" w:rsidR="1D8EB1C3">
        <w:rPr>
          <w:rFonts w:ascii="Verdana" w:hAnsi="Verdana" w:eastAsia="Verdana" w:cs="Verdana"/>
          <w:b w:val="0"/>
          <w:bCs w:val="0"/>
          <w:i w:val="0"/>
          <w:iCs w:val="0"/>
          <w:caps w:val="0"/>
          <w:smallCaps w:val="0"/>
          <w:noProof w:val="0"/>
          <w:color w:val="000000" w:themeColor="text1" w:themeTint="FF" w:themeShade="FF"/>
          <w:sz w:val="18"/>
          <w:szCs w:val="18"/>
          <w:lang w:val="es-ES"/>
        </w:rPr>
        <w:t>Sentidos y ofertas de educación superior en los territorios</w:t>
      </w:r>
    </w:p>
    <w:p w:rsidRPr="005470D0" w:rsidR="00385584" w:rsidP="627B0EF3" w:rsidRDefault="00385584" w14:paraId="7AD414DB" w14:textId="7CA05A2E">
      <w:pPr>
        <w:rPr>
          <w:rFonts w:cs="Calibri"/>
        </w:rPr>
      </w:pPr>
    </w:p>
    <w:p w:rsidR="00F6314B" w:rsidRDefault="00F6314B" w14:paraId="21DE5830" w14:textId="77777777"/>
    <w:sectPr w:rsidR="00F6314B" w:rsidSect="00385584">
      <w:headerReference w:type="even" r:id="rId10"/>
      <w:headerReference w:type="default" r:id="rId11"/>
      <w:headerReference w:type="first" r:id="rId14"/>
      <w:pgSz w:w="12240" w:h="15840" w:orient="portrait"/>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416A1" w:rsidP="00385584" w:rsidRDefault="009416A1" w14:paraId="761F8E62" w14:textId="77777777">
      <w:pPr>
        <w:spacing w:after="0" w:line="240" w:lineRule="auto"/>
      </w:pPr>
      <w:r>
        <w:separator/>
      </w:r>
    </w:p>
  </w:endnote>
  <w:endnote w:type="continuationSeparator" w:id="0">
    <w:p w:rsidR="009416A1" w:rsidP="00385584" w:rsidRDefault="009416A1" w14:paraId="0CEAA05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416A1" w:rsidP="00385584" w:rsidRDefault="009416A1" w14:paraId="63802273" w14:textId="77777777">
      <w:pPr>
        <w:spacing w:after="0" w:line="240" w:lineRule="auto"/>
      </w:pPr>
      <w:r>
        <w:separator/>
      </w:r>
    </w:p>
  </w:footnote>
  <w:footnote w:type="continuationSeparator" w:id="0">
    <w:p w:rsidR="009416A1" w:rsidP="00385584" w:rsidRDefault="009416A1" w14:paraId="04ED1AA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sdtfl w16du wp14">
  <w:p w:rsidR="00DD6FFF" w:rsidRDefault="00385584" w14:paraId="353112EA" w14:textId="72969DDF">
    <w:pPr>
      <w:pStyle w:val="Encabezado"/>
    </w:pPr>
    <w:r>
      <w:rPr>
        <w:noProof/>
        <w14:ligatures w14:val="standardContextual"/>
      </w:rPr>
      <mc:AlternateContent>
        <mc:Choice Requires="wps">
          <w:drawing>
            <wp:anchor distT="0" distB="0" distL="0" distR="0" simplePos="0" relativeHeight="251662336" behindDoc="0" locked="0" layoutInCell="1" allowOverlap="1" wp14:anchorId="17335ECA" wp14:editId="6234871D">
              <wp:simplePos x="635" y="635"/>
              <wp:positionH relativeFrom="page">
                <wp:align>left</wp:align>
              </wp:positionH>
              <wp:positionV relativeFrom="page">
                <wp:align>top</wp:align>
              </wp:positionV>
              <wp:extent cx="2659380" cy="539115"/>
              <wp:effectExtent l="0" t="0" r="7620" b="13335"/>
              <wp:wrapNone/>
              <wp:docPr id="70494688" name="Cuadro de texto 2" descr="Información Pública Clasificad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659380" cy="539115"/>
                      </a:xfrm>
                      <a:prstGeom prst="rect">
                        <a:avLst/>
                      </a:prstGeom>
                      <a:noFill/>
                      <a:ln>
                        <a:noFill/>
                      </a:ln>
                    </wps:spPr>
                    <wps:txbx>
                      <w:txbxContent>
                        <w:p w:rsidRPr="00385584" w:rsidR="00385584" w:rsidP="00385584" w:rsidRDefault="00385584" w14:paraId="19534894" w14:textId="2B140546">
                          <w:pPr>
                            <w:spacing w:after="0"/>
                            <w:rPr>
                              <w:rFonts w:eastAsia="Calibri" w:cs="Calibri"/>
                              <w:noProof/>
                              <w:color w:val="000000"/>
                              <w:sz w:val="30"/>
                              <w:szCs w:val="30"/>
                            </w:rPr>
                          </w:pPr>
                          <w:r w:rsidRPr="00385584">
                            <w:rPr>
                              <w:rFonts w:eastAsia="Calibri" w:cs="Calibri"/>
                              <w:noProof/>
                              <w:color w:val="000000"/>
                              <w:sz w:val="30"/>
                              <w:szCs w:val="30"/>
                            </w:rPr>
                            <w:t>Información Pública Clasificada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17335ECA">
              <v:stroke joinstyle="miter"/>
              <v:path gradientshapeok="t" o:connecttype="rect"/>
            </v:shapetype>
            <v:shape id="Cuadro de texto 2" style="position:absolute;margin-left:0;margin-top:0;width:209.4pt;height:42.45pt;z-index:251662336;visibility:visible;mso-wrap-style:none;mso-wrap-distance-left:0;mso-wrap-distance-top:0;mso-wrap-distance-right:0;mso-wrap-distance-bottom:0;mso-position-horizontal:left;mso-position-horizontal-relative:page;mso-position-vertical:top;mso-position-vertical-relative:page;v-text-anchor:top" alt="Información Pública Clasificada"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">
              <v:fill o:detectmouseclick="t"/>
              <v:textbox style="mso-fit-shape-to-text:t" inset="20pt,15pt,0,0">
                <w:txbxContent>
                  <w:p w:rsidRPr="00385584" w:rsidR="00385584" w:rsidP="00385584" w:rsidRDefault="00385584" w14:paraId="19534894" w14:textId="2B140546">
                    <w:pPr>
                      <w:spacing w:after="0"/>
                      <w:rPr>
                        <w:rFonts w:eastAsia="Calibri" w:cs="Calibri"/>
                        <w:noProof/>
                        <w:color w:val="000000"/>
                        <w:sz w:val="30"/>
                        <w:szCs w:val="30"/>
                      </w:rPr>
                    </w:pPr>
                    <w:r w:rsidRPr="00385584">
                      <w:rPr>
                        <w:rFonts w:eastAsia="Calibri" w:cs="Calibri"/>
                        <w:noProof/>
                        <w:color w:val="000000"/>
                        <w:sz w:val="30"/>
                        <w:szCs w:val="30"/>
                      </w:rPr>
                      <w:t>Información Pública Clasificada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clsh="http://schemas.microsoft.com/office/drawing/2020/classificationShape" mc:Ignorable="w14 w15 w16se w16cid w16 w16cex w16sdtdh w16sdtfl w16du wp14">
  <w:p w:rsidR="00DD6FFF" w:rsidP="7E934FB5" w:rsidRDefault="00385584" w14:paraId="4DD8E3F7" w14:textId="26CA5894">
    <w:pPr>
      <w:pStyle w:val="Encabezado"/>
      <w:spacing w:before="0" w:beforeAutospacing="off" w:after="0" w:afterAutospacing="off"/>
      <w:jc w:val="right"/>
    </w:pPr>
    <w:r w:rsidR="7E934FB5">
      <w:drawing>
        <wp:inline wp14:editId="1D1A7F29" wp14:anchorId="297BF8CF">
          <wp:extent cx="1123950" cy="1019175"/>
          <wp:effectExtent l="0" t="0" r="0" b="0"/>
          <wp:docPr id="1086241685" name="" title=""/>
          <wp:cNvGraphicFramePr>
            <a:graphicFrameLocks noChangeAspect="1"/>
          </wp:cNvGraphicFramePr>
          <a:graphic>
            <a:graphicData uri="http://schemas.openxmlformats.org/drawingml/2006/picture">
              <pic:pic>
                <pic:nvPicPr>
                  <pic:cNvPr id="0" name=""/>
                  <pic:cNvPicPr/>
                </pic:nvPicPr>
                <pic:blipFill>
                  <a:blip r:embed="Rba7d7b09bff34835">
                    <a:extLst>
                      <a:ext xmlns:a="http://schemas.openxmlformats.org/drawingml/2006/main" uri="{28A0092B-C50C-407E-A947-70E740481C1C}">
                        <a14:useLocalDpi val="0"/>
                      </a:ext>
                    </a:extLst>
                  </a:blip>
                  <a:stretch>
                    <a:fillRect/>
                  </a:stretch>
                </pic:blipFill>
                <pic:spPr>
                  <a:xfrm>
                    <a:off x="0" y="0"/>
                    <a:ext cx="1123950" cy="1019175"/>
                  </a:xfrm>
                  <a:prstGeom prst="rect">
                    <a:avLst/>
                  </a:prstGeom>
                </pic:spPr>
              </pic:pic>
            </a:graphicData>
          </a:graphic>
        </wp:inline>
      </w:drawing>
    </w:r>
    <w:r>
      <w:rPr>
        <w:noProof/>
        <w14:ligatures w14:val="standardContextual"/>
      </w:rPr>
      <mc:AlternateContent>
        <mc:Choice Requires="wps">
          <w:drawing>
            <wp:anchor distT="0" distB="0" distL="0" distR="0" simplePos="0" relativeHeight="251663360" behindDoc="0" locked="0" layoutInCell="1" allowOverlap="1" wp14:anchorId="520C52C0" wp14:editId="3F6AF5B2">
              <wp:simplePos x="1076325" y="447675"/>
              <wp:positionH relativeFrom="page">
                <wp:align>left</wp:align>
              </wp:positionH>
              <wp:positionV relativeFrom="page">
                <wp:align>top</wp:align>
              </wp:positionV>
              <wp:extent cx="2659380" cy="539115"/>
              <wp:effectExtent l="0" t="0" r="7620" b="13335"/>
              <wp:wrapNone/>
              <wp:docPr id="217080645" name="Cuadro de texto 3" descr="Información Pública Clasificad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659380" cy="539115"/>
                      </a:xfrm>
                      <a:prstGeom prst="rect">
                        <a:avLst/>
                      </a:prstGeom>
                      <a:noFill/>
                      <a:ln>
                        <a:noFill/>
                      </a:ln>
                    </wps:spPr>
                    <wps:txbx>
                      <w:txbxContent>
                        <w:p w:rsidRPr="00385584" w:rsidR="00385584" w:rsidP="00385584" w:rsidRDefault="00385584" w14:paraId="38B05DE6" w14:textId="610F1572">
                          <w:pPr>
                            <w:spacing w:after="0"/>
                            <w:rPr>
                              <w:rFonts w:eastAsia="Calibri" w:cs="Calibri"/>
                              <w:noProof/>
                              <w:color w:val="000000"/>
                              <w:sz w:val="30"/>
                              <w:szCs w:val="30"/>
                            </w:rPr>
                          </w:pPr>
                          <w:r w:rsidRPr="00385584">
                            <w:rPr>
                              <w:rFonts w:eastAsia="Calibri" w:cs="Calibri"/>
                              <w:noProof/>
                              <w:color w:val="000000"/>
                              <w:sz w:val="30"/>
                              <w:szCs w:val="30"/>
                            </w:rPr>
                            <w:t>Información Pública Clasificada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520C52C0">
              <v:stroke joinstyle="miter"/>
              <v:path gradientshapeok="t" o:connecttype="rect"/>
            </v:shapetype>
            <v:shape id="Cuadro de texto 3" style="position:absolute;margin-left:0;margin-top:0;width:209.4pt;height:42.45pt;z-index:251663360;visibility:visible;mso-wrap-style:none;mso-wrap-distance-left:0;mso-wrap-distance-top:0;mso-wrap-distance-right:0;mso-wrap-distance-bottom:0;mso-position-horizontal:left;mso-position-horizontal-relative:page;mso-position-vertical:top;mso-position-vertical-relative:page;v-text-anchor:top" alt="Información Pública Clasificada"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">
              <v:fill o:detectmouseclick="t"/>
              <v:textbox style="mso-fit-shape-to-text:t" inset="20pt,15pt,0,0">
                <w:txbxContent>
                  <w:p w:rsidRPr="00385584" w:rsidR="00385584" w:rsidP="00385584" w:rsidRDefault="00385584" w14:paraId="38B05DE6" w14:textId="610F1572">
                    <w:pPr>
                      <w:spacing w:after="0"/>
                      <w:rPr>
                        <w:rFonts w:eastAsia="Calibri" w:cs="Calibri"/>
                        <w:noProof/>
                        <w:color w:val="000000"/>
                        <w:sz w:val="30"/>
                        <w:szCs w:val="30"/>
                      </w:rPr>
                    </w:pPr>
                    <w:r w:rsidRPr="00385584">
                      <w:rPr>
                        <w:rFonts w:eastAsia="Calibri" w:cs="Calibri"/>
                        <w:noProof/>
                        <w:color w:val="000000"/>
                        <w:sz w:val="30"/>
                        <w:szCs w:val="30"/>
                      </w:rPr>
                      <w:t>Información Pública Clasificada</w:t>
                    </w:r>
                  </w:p>
                </w:txbxContent>
              </v:textbox>
              <w10:wrap anchorx="page" anchory="page"/>
            </v:shape>
          </w:pict>
        </mc:Fallback>
      </mc:AlternateContent>
    </w:r>
  </w:p>
  <w:p w:rsidR="00DD6FFF" w:rsidRDefault="00385584" w14:paraId="037BC202" w14:textId="1AC3512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sdtfl w16du wp14">
  <w:p w:rsidR="00DD6FFF" w:rsidRDefault="00385584" w14:paraId="3E62287E" w14:textId="0D0AF30E">
    <w:pPr>
      <w:pStyle w:val="Encabezado"/>
    </w:pPr>
    <w:r>
      <w:rPr>
        <w:noProof/>
        <w14:ligatures w14:val="standardContextual"/>
      </w:rPr>
      <mc:AlternateContent>
        <mc:Choice Requires="wps">
          <w:drawing>
            <wp:anchor distT="0" distB="0" distL="0" distR="0" simplePos="0" relativeHeight="251661312" behindDoc="0" locked="0" layoutInCell="1" allowOverlap="1" wp14:anchorId="781B2158" wp14:editId="3E74A57F">
              <wp:simplePos x="635" y="635"/>
              <wp:positionH relativeFrom="page">
                <wp:align>left</wp:align>
              </wp:positionH>
              <wp:positionV relativeFrom="page">
                <wp:align>top</wp:align>
              </wp:positionV>
              <wp:extent cx="2659380" cy="539115"/>
              <wp:effectExtent l="0" t="0" r="7620" b="13335"/>
              <wp:wrapNone/>
              <wp:docPr id="1446796098" name="Cuadro de texto 1" descr="Información Pública Clasificad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659380" cy="539115"/>
                      </a:xfrm>
                      <a:prstGeom prst="rect">
                        <a:avLst/>
                      </a:prstGeom>
                      <a:noFill/>
                      <a:ln>
                        <a:noFill/>
                      </a:ln>
                    </wps:spPr>
                    <wps:txbx>
                      <w:txbxContent>
                        <w:p w:rsidRPr="00385584" w:rsidR="00385584" w:rsidP="00385584" w:rsidRDefault="00385584" w14:paraId="148C8277" w14:textId="6D75D6EF">
                          <w:pPr>
                            <w:spacing w:after="0"/>
                            <w:rPr>
                              <w:rFonts w:eastAsia="Calibri" w:cs="Calibri"/>
                              <w:noProof/>
                              <w:color w:val="000000"/>
                              <w:sz w:val="30"/>
                              <w:szCs w:val="30"/>
                            </w:rPr>
                          </w:pPr>
                          <w:r w:rsidRPr="00385584">
                            <w:rPr>
                              <w:rFonts w:eastAsia="Calibri" w:cs="Calibri"/>
                              <w:noProof/>
                              <w:color w:val="000000"/>
                              <w:sz w:val="30"/>
                              <w:szCs w:val="30"/>
                            </w:rPr>
                            <w:t>Información Pública Clasificada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781B2158">
              <v:stroke joinstyle="miter"/>
              <v:path gradientshapeok="t" o:connecttype="rect"/>
            </v:shapetype>
            <v:shape id="Cuadro de texto 1" style="position:absolute;margin-left:0;margin-top:0;width:209.4pt;height:42.45pt;z-index:251661312;visibility:visible;mso-wrap-style:none;mso-wrap-distance-left:0;mso-wrap-distance-top:0;mso-wrap-distance-right:0;mso-wrap-distance-bottom:0;mso-position-horizontal:left;mso-position-horizontal-relative:page;mso-position-vertical:top;mso-position-vertical-relative:page;v-text-anchor:top" alt="Información Pública Clasificada"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">
              <v:fill o:detectmouseclick="t"/>
              <v:textbox style="mso-fit-shape-to-text:t" inset="20pt,15pt,0,0">
                <w:txbxContent>
                  <w:p w:rsidRPr="00385584" w:rsidR="00385584" w:rsidP="00385584" w:rsidRDefault="00385584" w14:paraId="148C8277" w14:textId="6D75D6EF">
                    <w:pPr>
                      <w:spacing w:after="0"/>
                      <w:rPr>
                        <w:rFonts w:eastAsia="Calibri" w:cs="Calibri"/>
                        <w:noProof/>
                        <w:color w:val="000000"/>
                        <w:sz w:val="30"/>
                        <w:szCs w:val="30"/>
                      </w:rPr>
                    </w:pPr>
                    <w:r w:rsidRPr="00385584">
                      <w:rPr>
                        <w:rFonts w:eastAsia="Calibri" w:cs="Calibri"/>
                        <w:noProof/>
                        <w:color w:val="000000"/>
                        <w:sz w:val="30"/>
                        <w:szCs w:val="30"/>
                      </w:rPr>
                      <w:t>Información Pública Clasificada</w:t>
                    </w:r>
                  </w:p>
                </w:txbxContent>
              </v:textbox>
              <w10:wrap anchorx="page" anchory="page"/>
            </v:shape>
          </w:pict>
        </mc:Fallback>
      </mc:AlternateContent>
    </w:r>
  </w:p>
</w:hdr>
</file>

<file path=word/intelligence2.xml><?xml version="1.0" encoding="utf-8"?>
<int2:intelligence xmlns:int2="http://schemas.microsoft.com/office/intelligence/2020/intelligence">
  <int2:observations>
    <int2:textHash int2:hashCode="1s0pzVEpOUhMif" int2:id="xLecwk3S">
      <int2:state int2:type="AugLoop_Text_Critique" int2:value="Rejected"/>
    </int2:textHash>
    <int2:textHash int2:hashCode="NZ3VGvwYDh3eZ1" int2:id="AAy748sb">
      <int2:state int2:type="AugLoop_Text_Critique" int2:value="Rejected"/>
    </int2:textHash>
    <int2:textHash int2:hashCode="DokoypXPBYljh7" int2:id="itNQ3LOB">
      <int2:state int2:type="AugLoop_Text_Critique"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19">
    <w:nsid w:val="45bfddd3"/>
    <w:multiLevelType xmlns:w="http://schemas.openxmlformats.org/wordprocessingml/2006/main" w:val="hybridMultilevel"/>
    <w:lvl xmlns:w="http://schemas.openxmlformats.org/wordprocessingml/2006/main" w:ilvl="0">
      <w:start w:val="1"/>
      <w:numFmt w:val="bullet"/>
      <w:lvlText w:val="o"/>
      <w:lvlJc w:val="left"/>
      <w:pPr>
        <w:ind w:left="810" w:hanging="360"/>
      </w:pPr>
      <w:rPr>
        <w:rFonts w:hint="default" w:ascii="Courier New" w:hAnsi="Courier New"/>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
    <w:nsid w:val="46009487"/>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
    <w:nsid w:val="5de62794"/>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
    <w:nsid w:val="2d9bef99"/>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
    <w:nsid w:val="3db3e669"/>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
    <w:nsid w:val="5abcf315"/>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nsid w:val="69e882db"/>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7c4b8c9c"/>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21381bef"/>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nsid w:val="2a7ed41e"/>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nsid w:val="22e41d4f"/>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9ce62ab"/>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373cbafc"/>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aeac8e4"/>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37b8c41f"/>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5086f6ff"/>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Courier New" w:hAnsi="Courier New"/>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2a113a1c"/>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Courier New" w:hAnsi="Courier New"/>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613a679d"/>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Courier New" w:hAnsi="Courier New"/>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24faa8c9"/>
    <w:multiLevelType xmlns:w="http://schemas.openxmlformats.org/wordprocessingml/2006/main" w:val="multilevel"/>
    <w:lvl xmlns:w="http://schemas.openxmlformats.org/wordprocessingml/2006/main" w:ilvl="0">
      <w:start w:val="1"/>
      <w:numFmt w:val="bullet"/>
      <w:lvlText w:val=""/>
      <w:lvlJc w:val="left"/>
      <w:pPr>
        <w:ind w:left="-24"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3DF21D3B"/>
    <w:multiLevelType w:val="hybridMultilevel"/>
    <w:tmpl w:val="3F4E0634"/>
    <w:lvl w:ilvl="0" w:tplc="0E0672DA">
      <w:start w:val="1"/>
      <w:numFmt w:val="bullet"/>
      <w:lvlText w:val="-"/>
      <w:lvlJc w:val="left"/>
      <w:pPr>
        <w:ind w:left="360" w:hanging="360"/>
      </w:pPr>
      <w:rPr>
        <w:rFonts w:hint="default" w:ascii="Garamond" w:hAnsi="Garamond"/>
      </w:rPr>
    </w:lvl>
    <w:lvl w:ilvl="1" w:tplc="97D698F6">
      <w:start w:val="1"/>
      <w:numFmt w:val="bullet"/>
      <w:lvlText w:val="o"/>
      <w:lvlJc w:val="left"/>
      <w:pPr>
        <w:ind w:left="1080" w:hanging="360"/>
      </w:pPr>
      <w:rPr>
        <w:rFonts w:hint="default" w:ascii="Courier New" w:hAnsi="Courier New"/>
      </w:rPr>
    </w:lvl>
    <w:lvl w:ilvl="2" w:tplc="988833B4">
      <w:start w:val="1"/>
      <w:numFmt w:val="bullet"/>
      <w:lvlText w:val=""/>
      <w:lvlJc w:val="left"/>
      <w:pPr>
        <w:ind w:left="1800" w:hanging="360"/>
      </w:pPr>
      <w:rPr>
        <w:rFonts w:hint="default" w:ascii="Wingdings" w:hAnsi="Wingdings"/>
      </w:rPr>
    </w:lvl>
    <w:lvl w:ilvl="3" w:tplc="DE144194">
      <w:start w:val="1"/>
      <w:numFmt w:val="bullet"/>
      <w:lvlText w:val=""/>
      <w:lvlJc w:val="left"/>
      <w:pPr>
        <w:ind w:left="2520" w:hanging="360"/>
      </w:pPr>
      <w:rPr>
        <w:rFonts w:hint="default" w:ascii="Symbol" w:hAnsi="Symbol"/>
      </w:rPr>
    </w:lvl>
    <w:lvl w:ilvl="4" w:tplc="3FCCBE72">
      <w:start w:val="1"/>
      <w:numFmt w:val="bullet"/>
      <w:lvlText w:val="o"/>
      <w:lvlJc w:val="left"/>
      <w:pPr>
        <w:ind w:left="3240" w:hanging="360"/>
      </w:pPr>
      <w:rPr>
        <w:rFonts w:hint="default" w:ascii="Courier New" w:hAnsi="Courier New"/>
      </w:rPr>
    </w:lvl>
    <w:lvl w:ilvl="5" w:tplc="A122088C">
      <w:start w:val="1"/>
      <w:numFmt w:val="bullet"/>
      <w:lvlText w:val=""/>
      <w:lvlJc w:val="left"/>
      <w:pPr>
        <w:ind w:left="3960" w:hanging="360"/>
      </w:pPr>
      <w:rPr>
        <w:rFonts w:hint="default" w:ascii="Wingdings" w:hAnsi="Wingdings"/>
      </w:rPr>
    </w:lvl>
    <w:lvl w:ilvl="6" w:tplc="2230D47A">
      <w:start w:val="1"/>
      <w:numFmt w:val="bullet"/>
      <w:lvlText w:val=""/>
      <w:lvlJc w:val="left"/>
      <w:pPr>
        <w:ind w:left="4680" w:hanging="360"/>
      </w:pPr>
      <w:rPr>
        <w:rFonts w:hint="default" w:ascii="Symbol" w:hAnsi="Symbol"/>
      </w:rPr>
    </w:lvl>
    <w:lvl w:ilvl="7" w:tplc="D1ECC4DC">
      <w:start w:val="1"/>
      <w:numFmt w:val="bullet"/>
      <w:lvlText w:val="o"/>
      <w:lvlJc w:val="left"/>
      <w:pPr>
        <w:ind w:left="5400" w:hanging="360"/>
      </w:pPr>
      <w:rPr>
        <w:rFonts w:hint="default" w:ascii="Courier New" w:hAnsi="Courier New"/>
      </w:rPr>
    </w:lvl>
    <w:lvl w:ilvl="8" w:tplc="C9E87EB4">
      <w:start w:val="1"/>
      <w:numFmt w:val="bullet"/>
      <w:lvlText w:val=""/>
      <w:lvlJc w:val="left"/>
      <w:pPr>
        <w:ind w:left="6120" w:hanging="360"/>
      </w:pPr>
      <w:rPr>
        <w:rFonts w:hint="default" w:ascii="Wingdings" w:hAnsi="Wingdings"/>
      </w:rPr>
    </w:lvl>
  </w:abstract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16cid:durableId="5189317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5584"/>
    <w:rsid w:val="00060292"/>
    <w:rsid w:val="00232743"/>
    <w:rsid w:val="00385584"/>
    <w:rsid w:val="009416A1"/>
    <w:rsid w:val="00AA0EE4"/>
    <w:rsid w:val="00C51B33"/>
    <w:rsid w:val="00DD6FFF"/>
    <w:rsid w:val="00F6314B"/>
    <w:rsid w:val="0372A817"/>
    <w:rsid w:val="0F5AC9B1"/>
    <w:rsid w:val="1D8EB1C3"/>
    <w:rsid w:val="1F77DE05"/>
    <w:rsid w:val="38DA662E"/>
    <w:rsid w:val="40DDEA61"/>
    <w:rsid w:val="51CB37C5"/>
    <w:rsid w:val="627B0EF3"/>
    <w:rsid w:val="7CCAD00A"/>
    <w:rsid w:val="7E934FB5"/>
  </w:rsids>
  <m:mathPr>
    <m:mathFont m:val="Cambria Math"/>
    <m:brkBin m:val="before"/>
    <m:brkBinSub m:val="--"/>
    <m:smallFrac m:val="0"/>
    <m:dispDef/>
    <m:lMargin m:val="0"/>
    <m:rMargin m:val="0"/>
    <m:defJc m:val="centerGroup"/>
    <m:wrapIndent m:val="1440"/>
    <m:intLim m:val="subSup"/>
    <m:naryLim m:val="undOvr"/>
  </m:mathPr>
  <w:themeFontLang w:val="es-419"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A152F"/>
  <w15:chartTrackingRefBased/>
  <w15:docId w15:val="{1B8A1526-5298-4EA6-8B5D-A811C06B4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es-419"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85584"/>
    <w:pPr>
      <w:spacing w:line="360" w:lineRule="auto"/>
    </w:pPr>
    <w:rPr>
      <w:rFonts w:ascii="Calibri" w:hAnsi="Calibri"/>
      <w:kern w:val="0"/>
      <w:szCs w:val="22"/>
      <w:lang w:val="es-CO"/>
      <w14:ligatures w14:val="none"/>
    </w:rPr>
  </w:style>
  <w:style w:type="paragraph" w:styleId="Ttulo1">
    <w:name w:val="heading 1"/>
    <w:basedOn w:val="Normal"/>
    <w:next w:val="Normal"/>
    <w:link w:val="Ttulo1Car"/>
    <w:uiPriority w:val="9"/>
    <w:qFormat/>
    <w:rsid w:val="00385584"/>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385584"/>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385584"/>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385584"/>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385584"/>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385584"/>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385584"/>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385584"/>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385584"/>
    <w:pPr>
      <w:keepNext/>
      <w:keepLines/>
      <w:spacing w:after="0"/>
      <w:outlineLvl w:val="8"/>
    </w:pPr>
    <w:rPr>
      <w:rFonts w:eastAsiaTheme="majorEastAsia" w:cstheme="majorBidi"/>
      <w:color w:val="272727" w:themeColor="text1" w:themeTint="D8"/>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basedOn w:val="Fuentedeprrafopredeter"/>
    <w:link w:val="Ttulo1"/>
    <w:uiPriority w:val="9"/>
    <w:rsid w:val="00385584"/>
    <w:rPr>
      <w:rFonts w:asciiTheme="majorHAnsi" w:hAnsiTheme="majorHAnsi" w:eastAsiaTheme="majorEastAsia" w:cstheme="majorBidi"/>
      <w:color w:val="0F4761" w:themeColor="accent1" w:themeShade="BF"/>
      <w:sz w:val="40"/>
      <w:szCs w:val="40"/>
    </w:rPr>
  </w:style>
  <w:style w:type="character" w:styleId="Ttulo2Car" w:customStyle="1">
    <w:name w:val="Título 2 Car"/>
    <w:basedOn w:val="Fuentedeprrafopredeter"/>
    <w:link w:val="Ttulo2"/>
    <w:uiPriority w:val="9"/>
    <w:semiHidden/>
    <w:rsid w:val="00385584"/>
    <w:rPr>
      <w:rFonts w:asciiTheme="majorHAnsi" w:hAnsiTheme="majorHAnsi" w:eastAsiaTheme="majorEastAsia" w:cstheme="majorBidi"/>
      <w:color w:val="0F4761" w:themeColor="accent1" w:themeShade="BF"/>
      <w:sz w:val="32"/>
      <w:szCs w:val="32"/>
    </w:rPr>
  </w:style>
  <w:style w:type="character" w:styleId="Ttulo3Car" w:customStyle="1">
    <w:name w:val="Título 3 Car"/>
    <w:basedOn w:val="Fuentedeprrafopredeter"/>
    <w:link w:val="Ttulo3"/>
    <w:uiPriority w:val="9"/>
    <w:semiHidden/>
    <w:rsid w:val="00385584"/>
    <w:rPr>
      <w:rFonts w:eastAsiaTheme="majorEastAsia" w:cstheme="majorBidi"/>
      <w:color w:val="0F4761" w:themeColor="accent1" w:themeShade="BF"/>
      <w:sz w:val="28"/>
      <w:szCs w:val="28"/>
    </w:rPr>
  </w:style>
  <w:style w:type="character" w:styleId="Ttulo4Car" w:customStyle="1">
    <w:name w:val="Título 4 Car"/>
    <w:basedOn w:val="Fuentedeprrafopredeter"/>
    <w:link w:val="Ttulo4"/>
    <w:uiPriority w:val="9"/>
    <w:semiHidden/>
    <w:rsid w:val="00385584"/>
    <w:rPr>
      <w:rFonts w:eastAsiaTheme="majorEastAsia" w:cstheme="majorBidi"/>
      <w:i/>
      <w:iCs/>
      <w:color w:val="0F4761" w:themeColor="accent1" w:themeShade="BF"/>
    </w:rPr>
  </w:style>
  <w:style w:type="character" w:styleId="Ttulo5Car" w:customStyle="1">
    <w:name w:val="Título 5 Car"/>
    <w:basedOn w:val="Fuentedeprrafopredeter"/>
    <w:link w:val="Ttulo5"/>
    <w:uiPriority w:val="9"/>
    <w:semiHidden/>
    <w:rsid w:val="00385584"/>
    <w:rPr>
      <w:rFonts w:eastAsiaTheme="majorEastAsia" w:cstheme="majorBidi"/>
      <w:color w:val="0F4761" w:themeColor="accent1" w:themeShade="BF"/>
    </w:rPr>
  </w:style>
  <w:style w:type="character" w:styleId="Ttulo6Car" w:customStyle="1">
    <w:name w:val="Título 6 Car"/>
    <w:basedOn w:val="Fuentedeprrafopredeter"/>
    <w:link w:val="Ttulo6"/>
    <w:uiPriority w:val="9"/>
    <w:semiHidden/>
    <w:rsid w:val="00385584"/>
    <w:rPr>
      <w:rFonts w:eastAsiaTheme="majorEastAsia" w:cstheme="majorBidi"/>
      <w:i/>
      <w:iCs/>
      <w:color w:val="595959" w:themeColor="text1" w:themeTint="A6"/>
    </w:rPr>
  </w:style>
  <w:style w:type="character" w:styleId="Ttulo7Car" w:customStyle="1">
    <w:name w:val="Título 7 Car"/>
    <w:basedOn w:val="Fuentedeprrafopredeter"/>
    <w:link w:val="Ttulo7"/>
    <w:uiPriority w:val="9"/>
    <w:semiHidden/>
    <w:rsid w:val="00385584"/>
    <w:rPr>
      <w:rFonts w:eastAsiaTheme="majorEastAsia" w:cstheme="majorBidi"/>
      <w:color w:val="595959" w:themeColor="text1" w:themeTint="A6"/>
    </w:rPr>
  </w:style>
  <w:style w:type="character" w:styleId="Ttulo8Car" w:customStyle="1">
    <w:name w:val="Título 8 Car"/>
    <w:basedOn w:val="Fuentedeprrafopredeter"/>
    <w:link w:val="Ttulo8"/>
    <w:uiPriority w:val="9"/>
    <w:semiHidden/>
    <w:rsid w:val="00385584"/>
    <w:rPr>
      <w:rFonts w:eastAsiaTheme="majorEastAsia" w:cstheme="majorBidi"/>
      <w:i/>
      <w:iCs/>
      <w:color w:val="272727" w:themeColor="text1" w:themeTint="D8"/>
    </w:rPr>
  </w:style>
  <w:style w:type="character" w:styleId="Ttulo9Car" w:customStyle="1">
    <w:name w:val="Título 9 Car"/>
    <w:basedOn w:val="Fuentedeprrafopredeter"/>
    <w:link w:val="Ttulo9"/>
    <w:uiPriority w:val="9"/>
    <w:semiHidden/>
    <w:rsid w:val="00385584"/>
    <w:rPr>
      <w:rFonts w:eastAsiaTheme="majorEastAsia" w:cstheme="majorBidi"/>
      <w:color w:val="272727" w:themeColor="text1" w:themeTint="D8"/>
    </w:rPr>
  </w:style>
  <w:style w:type="paragraph" w:styleId="Ttulo">
    <w:name w:val="Title"/>
    <w:basedOn w:val="Normal"/>
    <w:next w:val="Normal"/>
    <w:link w:val="TtuloCar"/>
    <w:uiPriority w:val="10"/>
    <w:qFormat/>
    <w:rsid w:val="00385584"/>
    <w:pPr>
      <w:spacing w:after="80" w:line="240" w:lineRule="auto"/>
      <w:contextualSpacing/>
    </w:pPr>
    <w:rPr>
      <w:rFonts w:asciiTheme="majorHAnsi" w:hAnsiTheme="majorHAnsi" w:eastAsiaTheme="majorEastAsia" w:cstheme="majorBidi"/>
      <w:spacing w:val="-10"/>
      <w:kern w:val="28"/>
      <w:sz w:val="56"/>
      <w:szCs w:val="56"/>
    </w:rPr>
  </w:style>
  <w:style w:type="character" w:styleId="TtuloCar" w:customStyle="1">
    <w:name w:val="Título Car"/>
    <w:basedOn w:val="Fuentedeprrafopredeter"/>
    <w:link w:val="Ttulo"/>
    <w:uiPriority w:val="10"/>
    <w:rsid w:val="00385584"/>
    <w:rPr>
      <w:rFonts w:asciiTheme="majorHAnsi" w:hAnsiTheme="majorHAnsi" w:eastAsiaTheme="majorEastAsia" w:cstheme="majorBidi"/>
      <w:spacing w:val="-10"/>
      <w:kern w:val="28"/>
      <w:sz w:val="56"/>
      <w:szCs w:val="56"/>
    </w:rPr>
  </w:style>
  <w:style w:type="paragraph" w:styleId="Subttulo">
    <w:name w:val="Subtitle"/>
    <w:basedOn w:val="Normal"/>
    <w:next w:val="Normal"/>
    <w:link w:val="SubttuloCar"/>
    <w:uiPriority w:val="11"/>
    <w:qFormat/>
    <w:rsid w:val="00385584"/>
    <w:pPr>
      <w:numPr>
        <w:ilvl w:val="1"/>
      </w:numPr>
    </w:pPr>
    <w:rPr>
      <w:rFonts w:eastAsiaTheme="majorEastAsia" w:cstheme="majorBidi"/>
      <w:color w:val="595959" w:themeColor="text1" w:themeTint="A6"/>
      <w:spacing w:val="15"/>
      <w:sz w:val="28"/>
      <w:szCs w:val="28"/>
    </w:rPr>
  </w:style>
  <w:style w:type="character" w:styleId="SubttuloCar" w:customStyle="1">
    <w:name w:val="Subtítulo Car"/>
    <w:basedOn w:val="Fuentedeprrafopredeter"/>
    <w:link w:val="Subttulo"/>
    <w:uiPriority w:val="11"/>
    <w:rsid w:val="00385584"/>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385584"/>
    <w:pPr>
      <w:spacing w:before="160"/>
      <w:jc w:val="center"/>
    </w:pPr>
    <w:rPr>
      <w:i/>
      <w:iCs/>
      <w:color w:val="404040" w:themeColor="text1" w:themeTint="BF"/>
    </w:rPr>
  </w:style>
  <w:style w:type="character" w:styleId="CitaCar" w:customStyle="1">
    <w:name w:val="Cita Car"/>
    <w:basedOn w:val="Fuentedeprrafopredeter"/>
    <w:link w:val="Cita"/>
    <w:uiPriority w:val="29"/>
    <w:rsid w:val="00385584"/>
    <w:rPr>
      <w:i/>
      <w:iCs/>
      <w:color w:val="404040" w:themeColor="text1" w:themeTint="BF"/>
    </w:rPr>
  </w:style>
  <w:style w:type="paragraph" w:styleId="Prrafodelista">
    <w:name w:val="List Paragraph"/>
    <w:basedOn w:val="Normal"/>
    <w:uiPriority w:val="34"/>
    <w:qFormat/>
    <w:rsid w:val="00385584"/>
    <w:pPr>
      <w:ind w:left="720"/>
      <w:contextualSpacing/>
    </w:pPr>
  </w:style>
  <w:style w:type="character" w:styleId="nfasisintenso">
    <w:name w:val="Intense Emphasis"/>
    <w:basedOn w:val="Fuentedeprrafopredeter"/>
    <w:uiPriority w:val="21"/>
    <w:qFormat/>
    <w:rsid w:val="00385584"/>
    <w:rPr>
      <w:i/>
      <w:iCs/>
      <w:color w:val="0F4761" w:themeColor="accent1" w:themeShade="BF"/>
    </w:rPr>
  </w:style>
  <w:style w:type="paragraph" w:styleId="Citadestacada">
    <w:name w:val="Intense Quote"/>
    <w:basedOn w:val="Normal"/>
    <w:next w:val="Normal"/>
    <w:link w:val="CitadestacadaCar"/>
    <w:uiPriority w:val="30"/>
    <w:qFormat/>
    <w:rsid w:val="00385584"/>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CitadestacadaCar" w:customStyle="1">
    <w:name w:val="Cita destacada Car"/>
    <w:basedOn w:val="Fuentedeprrafopredeter"/>
    <w:link w:val="Citadestacada"/>
    <w:uiPriority w:val="30"/>
    <w:rsid w:val="00385584"/>
    <w:rPr>
      <w:i/>
      <w:iCs/>
      <w:color w:val="0F4761" w:themeColor="accent1" w:themeShade="BF"/>
    </w:rPr>
  </w:style>
  <w:style w:type="character" w:styleId="Referenciaintensa">
    <w:name w:val="Intense Reference"/>
    <w:basedOn w:val="Fuentedeprrafopredeter"/>
    <w:uiPriority w:val="32"/>
    <w:qFormat/>
    <w:rsid w:val="00385584"/>
    <w:rPr>
      <w:b/>
      <w:bCs/>
      <w:smallCaps/>
      <w:color w:val="0F4761" w:themeColor="accent1" w:themeShade="BF"/>
      <w:spacing w:val="5"/>
    </w:rPr>
  </w:style>
  <w:style w:type="paragraph" w:styleId="Encabezado">
    <w:name w:val="header"/>
    <w:aliases w:val="h,h8,h9,h10,h18"/>
    <w:basedOn w:val="Normal"/>
    <w:link w:val="EncabezadoCar"/>
    <w:uiPriority w:val="99"/>
    <w:unhideWhenUsed/>
    <w:rsid w:val="00385584"/>
    <w:pPr>
      <w:tabs>
        <w:tab w:val="center" w:pos="4419"/>
        <w:tab w:val="right" w:pos="8838"/>
      </w:tabs>
      <w:spacing w:after="0" w:line="240" w:lineRule="auto"/>
    </w:pPr>
  </w:style>
  <w:style w:type="character" w:styleId="EncabezadoCar" w:customStyle="1">
    <w:name w:val="Encabezado Car"/>
    <w:aliases w:val="h Car,h8 Car,h9 Car,h10 Car,h18 Car"/>
    <w:basedOn w:val="Fuentedeprrafopredeter"/>
    <w:link w:val="Encabezado"/>
    <w:uiPriority w:val="99"/>
    <w:rsid w:val="00385584"/>
    <w:rPr>
      <w:rFonts w:ascii="Calibri" w:hAnsi="Calibri"/>
      <w:kern w:val="0"/>
      <w:szCs w:val="22"/>
      <w:lang w:val="es-CO"/>
      <w14:ligatures w14:val="none"/>
    </w:rPr>
  </w:style>
  <w:style w:type="paragraph" w:styleId="Piedepgina">
    <w:name w:val="footer"/>
    <w:basedOn w:val="Normal"/>
    <w:link w:val="PiedepginaCar"/>
    <w:uiPriority w:val="99"/>
    <w:unhideWhenUsed/>
    <w:rsid w:val="00385584"/>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385584"/>
    <w:rPr>
      <w:rFonts w:ascii="Calibri" w:hAnsi="Calibri"/>
      <w:kern w:val="0"/>
      <w:szCs w:val="22"/>
      <w:lang w:val="es-CO"/>
      <w14:ligatures w14:val="none"/>
    </w:rPr>
  </w:style>
  <w:style w:type="paragraph" w:styleId="Descripcin">
    <w:name w:val="caption"/>
    <w:basedOn w:val="Normal"/>
    <w:next w:val="Normal"/>
    <w:uiPriority w:val="35"/>
    <w:unhideWhenUsed/>
    <w:qFormat/>
    <w:rsid w:val="00385584"/>
    <w:pPr>
      <w:spacing w:after="200" w:line="240" w:lineRule="auto"/>
    </w:pPr>
    <w:rPr>
      <w:i/>
      <w:iCs/>
      <w:color w:val="0E2841" w:themeColor="text2"/>
      <w:sz w:val="18"/>
      <w:szCs w:val="18"/>
    </w:rPr>
  </w:style>
  <w:style w:type="table" w:styleId="GridTable1Light-Accent11" w:customStyle="1">
    <w:name w:val="Grid Table 1 Light - Accent 11"/>
    <w:basedOn w:val="Tablanormal"/>
    <w:uiPriority w:val="46"/>
    <w:rsid w:val="00385584"/>
    <w:pPr>
      <w:spacing w:after="0" w:line="240" w:lineRule="auto"/>
    </w:pPr>
    <w:rPr>
      <w:kern w:val="0"/>
      <w:sz w:val="22"/>
      <w:szCs w:val="22"/>
      <w:lang w:val="en-US"/>
      <w14:ligatures w14:val="none"/>
    </w:rPr>
    <w:tblPr>
      <w:tblStyleRowBandSize w:val="1"/>
      <w:tblStyleColBandSize w:val="1"/>
      <w:tblBorders>
        <w:top w:val="single" w:color="83CAEB" w:themeColor="accent1" w:themeTint="66" w:sz="4" w:space="0"/>
        <w:left w:val="single" w:color="83CAEB" w:themeColor="accent1" w:themeTint="66" w:sz="4" w:space="0"/>
        <w:bottom w:val="single" w:color="83CAEB" w:themeColor="accent1" w:themeTint="66" w:sz="4" w:space="0"/>
        <w:right w:val="single" w:color="83CAEB" w:themeColor="accent1" w:themeTint="66" w:sz="4" w:space="0"/>
        <w:insideH w:val="single" w:color="83CAEB" w:themeColor="accent1" w:themeTint="66" w:sz="4" w:space="0"/>
        <w:insideV w:val="single" w:color="83CAEB" w:themeColor="accent1" w:themeTint="66" w:sz="4" w:space="0"/>
      </w:tblBorders>
    </w:tblPr>
    <w:tblStylePr w:type="firstRow">
      <w:rPr>
        <w:b/>
        <w:bCs/>
      </w:rPr>
      <w:tblPr/>
      <w:tcPr>
        <w:tcBorders>
          <w:bottom w:val="single" w:color="45B0E1" w:themeColor="accent1" w:themeTint="99" w:sz="12" w:space="0"/>
        </w:tcBorders>
      </w:tcPr>
    </w:tblStylePr>
    <w:tblStylePr w:type="lastRow">
      <w:rPr>
        <w:b/>
        <w:bCs/>
      </w:rPr>
      <w:tblPr/>
      <w:tcPr>
        <w:tcBorders>
          <w:top w:val="double" w:color="45B0E1" w:themeColor="accent1" w:themeTint="99" w:sz="2" w:space="0"/>
        </w:tcBorders>
      </w:tcPr>
    </w:tblStylePr>
    <w:tblStylePr w:type="firstCol">
      <w:rPr>
        <w:b/>
        <w:bCs/>
      </w:rPr>
    </w:tblStylePr>
    <w:tblStylePr w:type="lastCol">
      <w:rPr>
        <w:b/>
        <w:bCs/>
      </w:rPr>
    </w:tblStylePr>
  </w:style>
  <w:style w:type="paragraph" w:styleId="Portadadeldocumento" w:customStyle="1">
    <w:name w:val="Portada del documento"/>
    <w:basedOn w:val="Ttulo1"/>
    <w:link w:val="PortadadeldocumentoCar"/>
    <w:qFormat/>
    <w:rsid w:val="00385584"/>
    <w:pPr>
      <w:spacing w:before="240" w:after="0"/>
      <w:jc w:val="center"/>
    </w:pPr>
    <w:rPr>
      <w:rFonts w:ascii="Calibri" w:hAnsi="Calibri" w:cs="Calibri"/>
      <w:lang w:val="es-ES"/>
    </w:rPr>
  </w:style>
  <w:style w:type="character" w:styleId="PortadadeldocumentoCar" w:customStyle="1">
    <w:name w:val="Portada del documento Car"/>
    <w:basedOn w:val="Ttulo1Car"/>
    <w:link w:val="Portadadeldocumento"/>
    <w:rsid w:val="00385584"/>
    <w:rPr>
      <w:rFonts w:ascii="Calibri" w:hAnsi="Calibri" w:cs="Calibri" w:eastAsiaTheme="majorEastAsia"/>
      <w:color w:val="0F4761" w:themeColor="accent1" w:themeShade="BF"/>
      <w:kern w:val="0"/>
      <w:sz w:val="40"/>
      <w:szCs w:val="40"/>
      <w:lang w:val="es-ES"/>
      <w14:ligatures w14:val="none"/>
    </w:rPr>
  </w:style>
  <w:style xmlns:w="http://schemas.openxmlformats.org/wordprocessingml/2006/main" w:type="table" w:styleId="TableGrid">
    <w:name xmlns:w="http://schemas.openxmlformats.org/wordprocessingml/2006/main" w:val="Table Grid"/>
    <w:basedOn xmlns:w="http://schemas.openxmlformats.org/wordprocessingml/2006/main" w:val="Tabla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table" w:styleId="PlainTable1" mc:Ignorable="w14">
    <w:name xmlns:w="http://schemas.openxmlformats.org/wordprocessingml/2006/main" w:val="Plain Table 1"/>
    <w:basedOn xmlns:w="http://schemas.openxmlformats.org/wordprocessingml/2006/main" w:val="Tablanormal"/>
    <w:uiPriority xmlns:w="http://schemas.openxmlformats.org/wordprocessingml/2006/main" w:val="41"/>
    <w:pPr xmlns:w="http://schemas.openxmlformats.org/wordprocessingml/2006/main">
      <w:spacing xmlns:w="http://schemas.openxmlformats.org/wordprocessingml/2006/main" w:after="0" w:line="240" w:lineRule="auto"/>
    </w:pPr>
    <w:tblPr xmlns:w="http://schemas.openxmlformats.org/wordprocessingml/2006/main">
      <w:tblStyleRowBandSize w:val="1"/>
      <w:tblStyleColBandSize w:val="1"/>
      <w:tblInd w:w="0" w:type="dxa"/>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CellMar>
        <w:top w:w="0" w:type="dxa"/>
        <w:left w:w="108" w:type="dxa"/>
        <w:bottom w:w="0" w:type="dxa"/>
        <w:right w:w="108" w:type="dxa"/>
      </w:tblCellMar>
    </w:tblPr>
    <w:tblStylePr xmlns:w="http://schemas.openxmlformats.org/wordprocessingml/2006/main" w:type="firstRow">
      <w:rPr>
        <w:b/>
        <w:bCs/>
      </w:rPr>
    </w:tblStylePr>
    <w:tblStylePr xmlns:w="http://schemas.openxmlformats.org/wordprocessingml/2006/main" w:type="lastRow">
      <w:rPr>
        <w:b/>
        <w:bCs/>
      </w:rPr>
      <w:tblPr/>
      <w:tcPr>
        <w:tcBorders>
          <w:top w:val="double" w:color="BFBFBF" w:themeColor="background1" w:themeShade="BF" w:sz="4" w:space="0"/>
        </w:tcBorders>
      </w:tcPr>
    </w:tblStylePr>
    <w:tblStylePr xmlns:w="http://schemas.openxmlformats.org/wordprocessingml/2006/main" w:type="firstCol">
      <w:rPr>
        <w:b/>
        <w:bCs/>
      </w:rPr>
    </w:tblStylePr>
    <w:tblStylePr xmlns:w="http://schemas.openxmlformats.org/wordprocessingml/2006/main" w:type="lastCol">
      <w:rPr>
        <w:b/>
        <w:bCs/>
      </w:rPr>
    </w:tblStylePr>
    <w:tblStylePr xmlns:w="http://schemas.openxmlformats.org/wordprocessingml/2006/main" w:type="band1Vert">
      <w:tblPr/>
      <w:tcPr>
        <w:shd w:val="clear" w:color="auto" w:fill="F2F2F2" w:themeFill="background1" w:themeFillShade="F2"/>
      </w:tcPr>
    </w:tblStylePr>
    <w:tblStylePr xmlns:w="http://schemas.openxmlformats.org/wordprocessingml/2006/main"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2.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3.xml" Id="rId14" /><Relationship Type="http://schemas.microsoft.com/office/2020/10/relationships/intelligence" Target="intelligence2.xml" Id="R667028a677144d14" /></Relationships>
</file>

<file path=word/_rels/header2.xml.rels>&#65279;<?xml version="1.0" encoding="utf-8"?><Relationships xmlns="http://schemas.openxmlformats.org/package/2006/relationships"><Relationship Type="http://schemas.openxmlformats.org/officeDocument/2006/relationships/image" Target="/media/image3.png" Id="Rba7d7b09bff34835"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8AFD8BD9E0FB143A131F4C3F297774B" ma:contentTypeVersion="19" ma:contentTypeDescription="Crear nuevo documento." ma:contentTypeScope="" ma:versionID="033ef70b94c257fa227bd8441bca13b7">
  <xsd:schema xmlns:xsd="http://www.w3.org/2001/XMLSchema" xmlns:xs="http://www.w3.org/2001/XMLSchema" xmlns:p="http://schemas.microsoft.com/office/2006/metadata/properties" xmlns:ns2="7b3b5900-56a4-48b8-94f3-df78c056f195" xmlns:ns3="9ba98e8a-276c-4a77-895e-52155753f08d" targetNamespace="http://schemas.microsoft.com/office/2006/metadata/properties" ma:root="true" ma:fieldsID="131fa5a7240036f2de9e9b1378a35234" ns2:_="" ns3:_="">
    <xsd:import namespace="7b3b5900-56a4-48b8-94f3-df78c056f195"/>
    <xsd:import namespace="9ba98e8a-276c-4a77-895e-52155753f08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3b5900-56a4-48b8-94f3-df78c056f1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a43926ec-d6a2-4a18-8bb6-1b1d14b90f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a98e8a-276c-4a77-895e-52155753f08d"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2ea6c5ef-7023-46ec-9328-86bdf5a7e7c7}" ma:internalName="TaxCatchAll" ma:showField="CatchAllData" ma:web="9ba98e8a-276c-4a77-895e-52155753f08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b3b5900-56a4-48b8-94f3-df78c056f195">
      <Terms xmlns="http://schemas.microsoft.com/office/infopath/2007/PartnerControls"/>
    </lcf76f155ced4ddcb4097134ff3c332f>
    <_Flow_SignoffStatus xmlns="7b3b5900-56a4-48b8-94f3-df78c056f195" xsi:nil="true"/>
    <TaxCatchAll xmlns="9ba98e8a-276c-4a77-895e-52155753f08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D45C8B-751D-444F-BD01-FC432D7F1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3b5900-56a4-48b8-94f3-df78c056f195"/>
    <ds:schemaRef ds:uri="9ba98e8a-276c-4a77-895e-52155753f0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5AD9C4-3CCA-4D67-940F-4451397516AC}">
  <ds:schemaRefs>
    <ds:schemaRef ds:uri="http://schemas.microsoft.com/office/2006/metadata/properties"/>
    <ds:schemaRef ds:uri="http://schemas.microsoft.com/office/infopath/2007/PartnerControls"/>
    <ds:schemaRef ds:uri="7b3b5900-56a4-48b8-94f3-df78c056f195"/>
    <ds:schemaRef ds:uri="9ba98e8a-276c-4a77-895e-52155753f08d"/>
  </ds:schemaRefs>
</ds:datastoreItem>
</file>

<file path=customXml/itemProps3.xml><?xml version="1.0" encoding="utf-8"?>
<ds:datastoreItem xmlns:ds="http://schemas.openxmlformats.org/officeDocument/2006/customXml" ds:itemID="{6BF323B1-0809-4023-96DA-907F5C6F6461}">
  <ds:schemaRefs>
    <ds:schemaRef ds:uri="http://schemas.microsoft.com/sharepoint/v3/contenttype/forms"/>
  </ds:schemaRefs>
</ds:datastoreItem>
</file>

<file path=docMetadata/LabelInfo.xml><?xml version="1.0" encoding="utf-8"?>
<clbl:labelList xmlns:clbl="http://schemas.microsoft.com/office/2020/mipLabelMetadata">
  <clbl:label id="{52b498cd-7a81-4486-9103-65b5717baee6}" enabled="1" method="Standard" siteId="{27864e10-5be4-4d4f-adb5-bbab512029e8}" contentBits="1"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Fabian Camilo Gaitán Cardozo</dc:creator>
  <keywords/>
  <dc:description/>
  <lastModifiedBy>Fabian Camilo Gaitán Cardozo</lastModifiedBy>
  <revision>5</revision>
  <dcterms:created xsi:type="dcterms:W3CDTF">2025-03-07T15:49:00.0000000Z</dcterms:created>
  <dcterms:modified xsi:type="dcterms:W3CDTF">2025-03-25T15:37:50.7219457Z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563c5b42,433a9e0,cf06345</vt:lpwstr>
  </property>
  <property fmtid="{D5CDD505-2E9C-101B-9397-08002B2CF9AE}" pid="3" name="ClassificationContentMarkingHeaderFontProps">
    <vt:lpwstr>#000000,15,Calibri</vt:lpwstr>
  </property>
  <property fmtid="{D5CDD505-2E9C-101B-9397-08002B2CF9AE}" pid="4" name="ClassificationContentMarkingHeaderText">
    <vt:lpwstr>Información Pública Clasificada</vt:lpwstr>
  </property>
  <property fmtid="{D5CDD505-2E9C-101B-9397-08002B2CF9AE}" pid="5" name="ContentTypeId">
    <vt:lpwstr>0x010100C8AFD8BD9E0FB143A131F4C3F297774B</vt:lpwstr>
  </property>
  <property fmtid="{D5CDD505-2E9C-101B-9397-08002B2CF9AE}" pid="6" name="MediaServiceImageTags">
    <vt:lpwstr/>
  </property>
</Properties>
</file>