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DC0" w:rsidRPr="00102DC0" w:rsidRDefault="00102DC0" w:rsidP="00102DC0">
      <w:pPr>
        <w:jc w:val="center"/>
        <w:rPr>
          <w:rFonts w:ascii="Arial" w:hAnsi="Arial" w:cs="Arial"/>
          <w:b/>
          <w:sz w:val="22"/>
          <w:szCs w:val="22"/>
        </w:rPr>
      </w:pPr>
      <w:r w:rsidRPr="00102DC0">
        <w:rPr>
          <w:rFonts w:ascii="Arial" w:hAnsi="Arial" w:cs="Arial"/>
          <w:b/>
          <w:sz w:val="22"/>
          <w:szCs w:val="22"/>
        </w:rPr>
        <w:t>RESPUESTAS A OBSERVACIONES AL INFORME PRELIMINAR, DEL PROCESO DE INVITACIÓN CERRADA 005 DE 2018</w:t>
      </w:r>
    </w:p>
    <w:p w:rsidR="00102DC0" w:rsidRPr="00102DC0" w:rsidRDefault="00102DC0" w:rsidP="00102DC0">
      <w:pPr>
        <w:jc w:val="center"/>
        <w:rPr>
          <w:rFonts w:ascii="Arial" w:hAnsi="Arial" w:cs="Arial"/>
          <w:b/>
          <w:sz w:val="22"/>
          <w:szCs w:val="22"/>
        </w:rPr>
      </w:pPr>
    </w:p>
    <w:p w:rsidR="00102DC0" w:rsidRPr="00102DC0" w:rsidRDefault="00102DC0" w:rsidP="00102DC0">
      <w:pPr>
        <w:jc w:val="both"/>
        <w:rPr>
          <w:rFonts w:ascii="Arial" w:hAnsi="Arial" w:cs="Arial"/>
          <w:sz w:val="22"/>
          <w:szCs w:val="22"/>
        </w:rPr>
      </w:pPr>
    </w:p>
    <w:p w:rsidR="00102DC0" w:rsidRDefault="00102DC0" w:rsidP="00102DC0">
      <w:pPr>
        <w:jc w:val="both"/>
        <w:rPr>
          <w:rFonts w:ascii="Arial" w:hAnsi="Arial" w:cs="Arial"/>
          <w:sz w:val="22"/>
          <w:szCs w:val="22"/>
        </w:rPr>
      </w:pPr>
      <w:r w:rsidRPr="00102DC0">
        <w:rPr>
          <w:rFonts w:ascii="Arial" w:hAnsi="Arial" w:cs="Arial"/>
          <w:sz w:val="22"/>
          <w:szCs w:val="22"/>
        </w:rPr>
        <w:t>El Instituto Colombiano para la Evaluación de la Educación – ICFES, se permite dar respuesta a las observaciones presentadas al informe preliminar, del proceso de Invitación Cerrada 005 de 2018, cuyo objeto es “Contratar un intermediario de seguros, legalmente establecido en Colombia y autorizado por la Superintendencia Financiera de Colombia, para que preste al Instituto Colombiano para la Evaluación de la Educación ICFES los servicios de intermediación y asesoría integral en la contratación y manejo de las pólizas de seguros requeridos por la entidad.</w:t>
      </w:r>
    </w:p>
    <w:p w:rsidR="00F74484" w:rsidRPr="00102DC0" w:rsidRDefault="00F74484" w:rsidP="00102DC0">
      <w:pPr>
        <w:jc w:val="both"/>
        <w:rPr>
          <w:rFonts w:ascii="Arial" w:hAnsi="Arial" w:cs="Arial"/>
          <w:sz w:val="22"/>
          <w:szCs w:val="22"/>
        </w:rPr>
      </w:pPr>
    </w:p>
    <w:p w:rsidR="00102DC0" w:rsidRPr="00102DC0" w:rsidRDefault="00102DC0" w:rsidP="00102DC0">
      <w:pPr>
        <w:jc w:val="both"/>
        <w:rPr>
          <w:rFonts w:ascii="Arial" w:hAnsi="Arial" w:cs="Arial"/>
          <w:sz w:val="22"/>
          <w:szCs w:val="22"/>
        </w:rPr>
      </w:pPr>
    </w:p>
    <w:p w:rsidR="00102DC0" w:rsidRPr="00F74484" w:rsidRDefault="00102DC0" w:rsidP="00F74484">
      <w:pPr>
        <w:ind w:left="360"/>
        <w:jc w:val="center"/>
        <w:rPr>
          <w:rFonts w:ascii="Arial" w:hAnsi="Arial" w:cs="Arial"/>
          <w:b/>
          <w:sz w:val="22"/>
        </w:rPr>
      </w:pPr>
      <w:r w:rsidRPr="00F74484">
        <w:rPr>
          <w:rFonts w:ascii="Arial" w:hAnsi="Arial" w:cs="Arial"/>
          <w:b/>
          <w:sz w:val="22"/>
        </w:rPr>
        <w:t>AON RISK SERVICES COLOMBIA S.A CORREDORES DE SEGUROS.</w:t>
      </w:r>
    </w:p>
    <w:p w:rsidR="00346C9A" w:rsidRDefault="00346C9A" w:rsidP="00346C9A">
      <w:pPr>
        <w:rPr>
          <w:b/>
          <w:sz w:val="22"/>
        </w:rPr>
      </w:pPr>
    </w:p>
    <w:p w:rsidR="00F74484" w:rsidRDefault="00F74484" w:rsidP="00346C9A">
      <w:pPr>
        <w:rPr>
          <w:rFonts w:ascii="Arial" w:hAnsi="Arial" w:cs="Arial"/>
          <w:b/>
          <w:sz w:val="22"/>
        </w:rPr>
      </w:pPr>
    </w:p>
    <w:p w:rsidR="00346C9A" w:rsidRPr="00346C9A" w:rsidRDefault="00346C9A" w:rsidP="00346C9A">
      <w:pPr>
        <w:rPr>
          <w:rFonts w:ascii="Arial" w:hAnsi="Arial" w:cs="Arial"/>
          <w:b/>
          <w:sz w:val="22"/>
        </w:rPr>
      </w:pPr>
      <w:r w:rsidRPr="00346C9A">
        <w:rPr>
          <w:rFonts w:ascii="Arial" w:hAnsi="Arial" w:cs="Arial"/>
          <w:b/>
          <w:sz w:val="22"/>
        </w:rPr>
        <w:t>Observación  No 1</w:t>
      </w:r>
    </w:p>
    <w:p w:rsidR="00102DC0" w:rsidRPr="00102DC0" w:rsidRDefault="00102DC0" w:rsidP="00102DC0">
      <w:pPr>
        <w:jc w:val="both"/>
        <w:rPr>
          <w:rFonts w:ascii="Arial" w:hAnsi="Arial" w:cs="Arial"/>
          <w:sz w:val="22"/>
          <w:szCs w:val="22"/>
        </w:rPr>
      </w:pPr>
    </w:p>
    <w:p w:rsidR="00102DC0" w:rsidRPr="00102DC0" w:rsidRDefault="00102DC0" w:rsidP="00102DC0">
      <w:pPr>
        <w:jc w:val="both"/>
        <w:rPr>
          <w:rFonts w:ascii="Arial" w:hAnsi="Arial" w:cs="Arial"/>
          <w:i/>
          <w:sz w:val="22"/>
          <w:szCs w:val="22"/>
        </w:rPr>
      </w:pPr>
      <w:r w:rsidRPr="00102DC0">
        <w:rPr>
          <w:rFonts w:ascii="Arial" w:hAnsi="Arial" w:cs="Arial"/>
          <w:i/>
          <w:sz w:val="22"/>
          <w:szCs w:val="22"/>
        </w:rPr>
        <w:t>OBSERVACIONES A LA UNION TEMPORAL CORREDORES 2018</w:t>
      </w:r>
    </w:p>
    <w:p w:rsidR="00102DC0" w:rsidRPr="00102DC0" w:rsidRDefault="00102DC0" w:rsidP="00102DC0">
      <w:pPr>
        <w:jc w:val="both"/>
        <w:rPr>
          <w:rFonts w:ascii="Arial" w:hAnsi="Arial" w:cs="Arial"/>
          <w:i/>
          <w:sz w:val="22"/>
          <w:szCs w:val="22"/>
        </w:rPr>
      </w:pPr>
    </w:p>
    <w:p w:rsidR="00102DC0" w:rsidRPr="00102DC0" w:rsidRDefault="00102DC0" w:rsidP="00102DC0">
      <w:pPr>
        <w:jc w:val="both"/>
        <w:rPr>
          <w:rFonts w:ascii="Arial" w:hAnsi="Arial" w:cs="Arial"/>
          <w:i/>
          <w:sz w:val="22"/>
          <w:szCs w:val="22"/>
        </w:rPr>
      </w:pPr>
      <w:r w:rsidRPr="00102DC0">
        <w:rPr>
          <w:rFonts w:ascii="Arial" w:hAnsi="Arial" w:cs="Arial"/>
          <w:i/>
          <w:sz w:val="22"/>
          <w:szCs w:val="22"/>
        </w:rPr>
        <w:t xml:space="preserve">Observación No. 1 </w:t>
      </w:r>
    </w:p>
    <w:p w:rsidR="00102DC0" w:rsidRPr="00102DC0" w:rsidRDefault="00102DC0" w:rsidP="00102DC0">
      <w:pPr>
        <w:jc w:val="both"/>
        <w:rPr>
          <w:rFonts w:ascii="Arial" w:hAnsi="Arial" w:cs="Arial"/>
          <w:i/>
          <w:sz w:val="22"/>
          <w:szCs w:val="22"/>
        </w:rPr>
      </w:pPr>
    </w:p>
    <w:p w:rsidR="00102DC0" w:rsidRPr="00102DC0" w:rsidRDefault="00102DC0" w:rsidP="00102DC0">
      <w:pPr>
        <w:jc w:val="both"/>
        <w:rPr>
          <w:rFonts w:ascii="Arial" w:hAnsi="Arial" w:cs="Arial"/>
          <w:i/>
          <w:sz w:val="22"/>
          <w:szCs w:val="22"/>
        </w:rPr>
      </w:pPr>
      <w:r w:rsidRPr="00102DC0">
        <w:rPr>
          <w:rFonts w:ascii="Arial" w:hAnsi="Arial" w:cs="Arial"/>
          <w:i/>
          <w:sz w:val="22"/>
          <w:szCs w:val="22"/>
        </w:rPr>
        <w:t>Solicitamos se proceda a RECHAZAR esta oferta por incurrir en una de las causales establecidas en el literal (o) del numeral 7.4 del documento de condiciones el cual estableció que incurriría en dicha causal, el proponente que no haya sido invitado, de conformidad con el manual de contratación del ICFES Acuerdo 006 del 2015.</w:t>
      </w:r>
    </w:p>
    <w:p w:rsidR="00102DC0" w:rsidRPr="00102DC0" w:rsidRDefault="00102DC0" w:rsidP="00102DC0">
      <w:pPr>
        <w:jc w:val="both"/>
        <w:rPr>
          <w:rFonts w:ascii="Arial" w:hAnsi="Arial" w:cs="Arial"/>
          <w:i/>
          <w:sz w:val="22"/>
          <w:szCs w:val="22"/>
        </w:rPr>
      </w:pPr>
      <w:r w:rsidRPr="00102DC0">
        <w:rPr>
          <w:rFonts w:ascii="Arial" w:hAnsi="Arial" w:cs="Arial"/>
          <w:i/>
          <w:sz w:val="22"/>
          <w:szCs w:val="22"/>
        </w:rPr>
        <w:t>Se observa como invitados a participar del proceso de contratación, dentro de la plataforma SECOP II, como invitación cerrada, además de a nuestra firma, a los siguientes Intermediarios de Seguros:</w:t>
      </w:r>
    </w:p>
    <w:p w:rsidR="00102DC0" w:rsidRPr="00102DC0" w:rsidRDefault="00102DC0" w:rsidP="00102DC0">
      <w:pPr>
        <w:jc w:val="both"/>
        <w:rPr>
          <w:rFonts w:ascii="Arial" w:hAnsi="Arial" w:cs="Arial"/>
          <w:i/>
          <w:sz w:val="22"/>
          <w:szCs w:val="22"/>
        </w:rPr>
      </w:pPr>
    </w:p>
    <w:p w:rsidR="00102DC0" w:rsidRPr="00102DC0" w:rsidRDefault="00102DC0" w:rsidP="00102DC0">
      <w:pPr>
        <w:jc w:val="both"/>
        <w:rPr>
          <w:rFonts w:ascii="Arial" w:hAnsi="Arial" w:cs="Arial"/>
          <w:i/>
          <w:sz w:val="22"/>
          <w:szCs w:val="22"/>
        </w:rPr>
      </w:pPr>
      <w:r w:rsidRPr="00102DC0">
        <w:rPr>
          <w:rFonts w:ascii="Arial" w:hAnsi="Arial" w:cs="Arial"/>
          <w:i/>
          <w:sz w:val="22"/>
          <w:szCs w:val="22"/>
        </w:rPr>
        <w:t>•</w:t>
      </w:r>
      <w:r w:rsidRPr="00102DC0">
        <w:rPr>
          <w:rFonts w:ascii="Arial" w:hAnsi="Arial" w:cs="Arial"/>
          <w:i/>
          <w:sz w:val="22"/>
          <w:szCs w:val="22"/>
        </w:rPr>
        <w:tab/>
        <w:t>AVIA CORREDORES DE SEGUROS S.A.</w:t>
      </w:r>
    </w:p>
    <w:p w:rsidR="00102DC0" w:rsidRPr="00102DC0" w:rsidRDefault="00102DC0" w:rsidP="00102DC0">
      <w:pPr>
        <w:jc w:val="both"/>
        <w:rPr>
          <w:rFonts w:ascii="Arial" w:hAnsi="Arial" w:cs="Arial"/>
          <w:i/>
          <w:sz w:val="22"/>
          <w:szCs w:val="22"/>
        </w:rPr>
      </w:pPr>
      <w:r w:rsidRPr="00102DC0">
        <w:rPr>
          <w:rFonts w:ascii="Arial" w:hAnsi="Arial" w:cs="Arial"/>
          <w:i/>
          <w:sz w:val="22"/>
          <w:szCs w:val="22"/>
        </w:rPr>
        <w:t>•</w:t>
      </w:r>
      <w:r w:rsidRPr="00102DC0">
        <w:rPr>
          <w:rFonts w:ascii="Arial" w:hAnsi="Arial" w:cs="Arial"/>
          <w:i/>
          <w:sz w:val="22"/>
          <w:szCs w:val="22"/>
        </w:rPr>
        <w:tab/>
        <w:t>CORRECOL CORREDORES DE SEGUROS S.A.</w:t>
      </w:r>
    </w:p>
    <w:p w:rsidR="00102DC0" w:rsidRPr="00102DC0" w:rsidRDefault="00102DC0" w:rsidP="00102DC0">
      <w:pPr>
        <w:jc w:val="both"/>
        <w:rPr>
          <w:rFonts w:ascii="Arial" w:hAnsi="Arial" w:cs="Arial"/>
          <w:i/>
          <w:sz w:val="22"/>
          <w:szCs w:val="22"/>
        </w:rPr>
      </w:pPr>
      <w:r w:rsidRPr="00102DC0">
        <w:rPr>
          <w:rFonts w:ascii="Arial" w:hAnsi="Arial" w:cs="Arial"/>
          <w:i/>
          <w:sz w:val="22"/>
          <w:szCs w:val="22"/>
        </w:rPr>
        <w:t>•</w:t>
      </w:r>
      <w:r w:rsidRPr="00102DC0">
        <w:rPr>
          <w:rFonts w:ascii="Arial" w:hAnsi="Arial" w:cs="Arial"/>
          <w:i/>
          <w:sz w:val="22"/>
          <w:szCs w:val="22"/>
        </w:rPr>
        <w:tab/>
        <w:t>PROMOTEC</w:t>
      </w:r>
    </w:p>
    <w:p w:rsidR="00102DC0" w:rsidRPr="00102DC0" w:rsidRDefault="00102DC0" w:rsidP="00102DC0">
      <w:pPr>
        <w:jc w:val="both"/>
        <w:rPr>
          <w:rFonts w:ascii="Arial" w:hAnsi="Arial" w:cs="Arial"/>
          <w:i/>
          <w:sz w:val="22"/>
          <w:szCs w:val="22"/>
        </w:rPr>
      </w:pPr>
      <w:r w:rsidRPr="00102DC0">
        <w:rPr>
          <w:rFonts w:ascii="Arial" w:hAnsi="Arial" w:cs="Arial"/>
          <w:i/>
          <w:sz w:val="22"/>
          <w:szCs w:val="22"/>
        </w:rPr>
        <w:t>•</w:t>
      </w:r>
      <w:r w:rsidRPr="00102DC0">
        <w:rPr>
          <w:rFonts w:ascii="Arial" w:hAnsi="Arial" w:cs="Arial"/>
          <w:i/>
          <w:sz w:val="22"/>
          <w:szCs w:val="22"/>
        </w:rPr>
        <w:tab/>
        <w:t>PROSEGUROS CORREDORES DE SEGUROS S.A.</w:t>
      </w:r>
    </w:p>
    <w:p w:rsidR="00102DC0" w:rsidRPr="00102DC0" w:rsidRDefault="00102DC0" w:rsidP="00102DC0">
      <w:pPr>
        <w:jc w:val="both"/>
        <w:rPr>
          <w:rFonts w:ascii="Arial" w:hAnsi="Arial" w:cs="Arial"/>
          <w:i/>
          <w:sz w:val="22"/>
          <w:szCs w:val="22"/>
        </w:rPr>
      </w:pPr>
    </w:p>
    <w:p w:rsidR="00102DC0" w:rsidRPr="00102DC0" w:rsidRDefault="00102DC0" w:rsidP="00102DC0">
      <w:pPr>
        <w:jc w:val="both"/>
        <w:rPr>
          <w:rFonts w:ascii="Arial" w:hAnsi="Arial" w:cs="Arial"/>
          <w:i/>
          <w:sz w:val="22"/>
          <w:szCs w:val="22"/>
        </w:rPr>
      </w:pPr>
      <w:r w:rsidRPr="00102DC0">
        <w:rPr>
          <w:rFonts w:ascii="Arial" w:hAnsi="Arial" w:cs="Arial"/>
          <w:i/>
          <w:sz w:val="22"/>
          <w:szCs w:val="22"/>
        </w:rPr>
        <w:t xml:space="preserve">Si bien es cierto el pliego permite la participación de Uniones Temporales o de Consorcios, no lo es que haya permitido que participe un Invitado con un NO invitado, como es el caso de la Unión Temporal que estamos observando, donde </w:t>
      </w:r>
      <w:proofErr w:type="spellStart"/>
      <w:r w:rsidRPr="00102DC0">
        <w:rPr>
          <w:rFonts w:ascii="Arial" w:hAnsi="Arial" w:cs="Arial"/>
          <w:i/>
          <w:sz w:val="22"/>
          <w:szCs w:val="22"/>
        </w:rPr>
        <w:t>Proseguros</w:t>
      </w:r>
      <w:proofErr w:type="spellEnd"/>
      <w:r w:rsidRPr="00102DC0">
        <w:rPr>
          <w:rFonts w:ascii="Arial" w:hAnsi="Arial" w:cs="Arial"/>
          <w:i/>
          <w:sz w:val="22"/>
          <w:szCs w:val="22"/>
        </w:rPr>
        <w:t xml:space="preserve"> es Invitado y el otro miembro, esto es Willis, No lo fue.</w:t>
      </w:r>
    </w:p>
    <w:p w:rsidR="00102DC0" w:rsidRPr="00102DC0" w:rsidRDefault="00102DC0" w:rsidP="00102DC0">
      <w:pPr>
        <w:jc w:val="both"/>
        <w:rPr>
          <w:rFonts w:ascii="Arial" w:hAnsi="Arial" w:cs="Arial"/>
          <w:i/>
          <w:sz w:val="22"/>
          <w:szCs w:val="22"/>
        </w:rPr>
      </w:pPr>
      <w:r w:rsidRPr="00102DC0">
        <w:rPr>
          <w:rFonts w:ascii="Arial" w:hAnsi="Arial" w:cs="Arial"/>
          <w:i/>
          <w:sz w:val="22"/>
          <w:szCs w:val="22"/>
        </w:rPr>
        <w:t>.</w:t>
      </w:r>
    </w:p>
    <w:p w:rsidR="00102DC0" w:rsidRPr="00102DC0" w:rsidRDefault="00102DC0" w:rsidP="00102DC0">
      <w:pPr>
        <w:jc w:val="both"/>
        <w:rPr>
          <w:rFonts w:ascii="Arial" w:hAnsi="Arial" w:cs="Arial"/>
          <w:i/>
          <w:sz w:val="22"/>
          <w:szCs w:val="22"/>
        </w:rPr>
      </w:pPr>
    </w:p>
    <w:p w:rsidR="00102DC0" w:rsidRDefault="00102DC0" w:rsidP="00102DC0">
      <w:pPr>
        <w:jc w:val="both"/>
        <w:rPr>
          <w:rFonts w:ascii="Arial" w:hAnsi="Arial" w:cs="Arial"/>
          <w:sz w:val="22"/>
          <w:szCs w:val="22"/>
        </w:rPr>
      </w:pPr>
      <w:r w:rsidRPr="00102DC0">
        <w:rPr>
          <w:rFonts w:ascii="Arial" w:hAnsi="Arial" w:cs="Arial"/>
          <w:b/>
          <w:sz w:val="22"/>
          <w:szCs w:val="22"/>
        </w:rPr>
        <w:t>Respuesta:</w:t>
      </w:r>
      <w:r w:rsidRPr="00102DC0">
        <w:rPr>
          <w:rFonts w:ascii="Arial" w:hAnsi="Arial" w:cs="Arial"/>
          <w:i/>
          <w:sz w:val="22"/>
          <w:szCs w:val="22"/>
        </w:rPr>
        <w:t xml:space="preserve"> </w:t>
      </w:r>
      <w:r w:rsidRPr="00102DC0">
        <w:rPr>
          <w:rFonts w:ascii="Arial" w:hAnsi="Arial" w:cs="Arial"/>
          <w:sz w:val="22"/>
          <w:szCs w:val="22"/>
        </w:rPr>
        <w:t xml:space="preserve">No se acepta la observación. En el documento de condiciones en el numeral 4.2 del documento de condiciones </w:t>
      </w:r>
      <w:r w:rsidR="00417AEE">
        <w:rPr>
          <w:rFonts w:ascii="Arial" w:hAnsi="Arial" w:cs="Arial"/>
          <w:sz w:val="22"/>
          <w:szCs w:val="22"/>
        </w:rPr>
        <w:t>establece en su nota lo siguiente:</w:t>
      </w:r>
    </w:p>
    <w:p w:rsidR="00417AEE" w:rsidRPr="00102DC0" w:rsidRDefault="00417AEE" w:rsidP="00102DC0">
      <w:pPr>
        <w:jc w:val="both"/>
        <w:rPr>
          <w:rFonts w:ascii="Arial" w:hAnsi="Arial" w:cs="Arial"/>
          <w:i/>
          <w:sz w:val="22"/>
          <w:szCs w:val="22"/>
        </w:rPr>
      </w:pPr>
    </w:p>
    <w:p w:rsidR="00102DC0" w:rsidRPr="00102DC0" w:rsidRDefault="00102DC0" w:rsidP="00102DC0">
      <w:pPr>
        <w:jc w:val="both"/>
        <w:rPr>
          <w:rFonts w:ascii="Arial" w:hAnsi="Arial" w:cs="Arial"/>
          <w:b/>
          <w:sz w:val="22"/>
          <w:szCs w:val="22"/>
          <w:u w:val="single"/>
        </w:rPr>
      </w:pPr>
      <w:r w:rsidRPr="00102DC0">
        <w:rPr>
          <w:rFonts w:ascii="Arial" w:hAnsi="Arial" w:cs="Arial"/>
          <w:b/>
          <w:sz w:val="22"/>
          <w:szCs w:val="22"/>
          <w:u w:val="single"/>
        </w:rPr>
        <w:lastRenderedPageBreak/>
        <w:t xml:space="preserve">NOTA: Al menos uno de los integrantes del proponente plural, tuvo que haber sido invitado al presente proceso de selección. </w:t>
      </w:r>
    </w:p>
    <w:p w:rsidR="00102DC0" w:rsidRPr="00102DC0" w:rsidRDefault="00102DC0" w:rsidP="00102DC0">
      <w:pPr>
        <w:jc w:val="both"/>
        <w:rPr>
          <w:rFonts w:ascii="Arial" w:hAnsi="Arial" w:cs="Arial"/>
          <w:b/>
          <w:sz w:val="22"/>
          <w:szCs w:val="22"/>
          <w:u w:val="single"/>
        </w:rPr>
      </w:pPr>
    </w:p>
    <w:p w:rsidR="00102DC0" w:rsidRPr="00102DC0" w:rsidRDefault="00102DC0" w:rsidP="00102DC0">
      <w:pPr>
        <w:jc w:val="both"/>
        <w:rPr>
          <w:rFonts w:ascii="Arial" w:hAnsi="Arial" w:cs="Arial"/>
          <w:sz w:val="22"/>
          <w:szCs w:val="22"/>
        </w:rPr>
      </w:pPr>
    </w:p>
    <w:p w:rsidR="00102DC0" w:rsidRPr="00102DC0" w:rsidRDefault="00102DC0" w:rsidP="00102DC0">
      <w:pPr>
        <w:jc w:val="both"/>
        <w:rPr>
          <w:rFonts w:ascii="Arial" w:hAnsi="Arial" w:cs="Arial"/>
          <w:b/>
          <w:sz w:val="22"/>
          <w:szCs w:val="22"/>
        </w:rPr>
      </w:pPr>
      <w:r w:rsidRPr="00102DC0">
        <w:rPr>
          <w:rFonts w:ascii="Arial" w:hAnsi="Arial" w:cs="Arial"/>
          <w:b/>
          <w:sz w:val="22"/>
          <w:szCs w:val="22"/>
        </w:rPr>
        <w:t>Observación No 2</w:t>
      </w:r>
    </w:p>
    <w:p w:rsidR="00102DC0" w:rsidRPr="00102DC0" w:rsidRDefault="00102DC0" w:rsidP="00102DC0">
      <w:pPr>
        <w:jc w:val="both"/>
        <w:rPr>
          <w:rFonts w:ascii="Arial" w:hAnsi="Arial" w:cs="Arial"/>
          <w:sz w:val="22"/>
          <w:szCs w:val="22"/>
        </w:rPr>
      </w:pPr>
    </w:p>
    <w:p w:rsidR="00102DC0" w:rsidRPr="003904F7" w:rsidRDefault="00102DC0" w:rsidP="00102DC0">
      <w:pPr>
        <w:jc w:val="both"/>
        <w:rPr>
          <w:rFonts w:ascii="Arial" w:hAnsi="Arial" w:cs="Arial"/>
          <w:i/>
          <w:sz w:val="22"/>
          <w:szCs w:val="22"/>
        </w:rPr>
      </w:pPr>
      <w:r w:rsidRPr="003904F7">
        <w:rPr>
          <w:rFonts w:ascii="Arial" w:hAnsi="Arial" w:cs="Arial"/>
          <w:i/>
          <w:sz w:val="22"/>
          <w:szCs w:val="22"/>
        </w:rPr>
        <w:t>Segunda Observación</w:t>
      </w:r>
    </w:p>
    <w:p w:rsidR="00102DC0" w:rsidRPr="003904F7" w:rsidRDefault="00102DC0" w:rsidP="00102DC0">
      <w:pPr>
        <w:jc w:val="both"/>
        <w:rPr>
          <w:rFonts w:ascii="Arial" w:hAnsi="Arial" w:cs="Arial"/>
          <w:i/>
          <w:sz w:val="22"/>
          <w:szCs w:val="22"/>
        </w:rPr>
      </w:pPr>
    </w:p>
    <w:p w:rsidR="00102DC0" w:rsidRPr="003904F7" w:rsidRDefault="00102DC0" w:rsidP="00102DC0">
      <w:pPr>
        <w:jc w:val="both"/>
        <w:rPr>
          <w:rFonts w:ascii="Arial" w:hAnsi="Arial" w:cs="Arial"/>
          <w:i/>
          <w:sz w:val="22"/>
          <w:szCs w:val="22"/>
        </w:rPr>
      </w:pPr>
      <w:r w:rsidRPr="003904F7">
        <w:rPr>
          <w:rFonts w:ascii="Arial" w:hAnsi="Arial" w:cs="Arial"/>
          <w:i/>
          <w:sz w:val="22"/>
          <w:szCs w:val="22"/>
        </w:rPr>
        <w:t>La modificación N° 1 que indica los plazos establecidos para el presente proceso, señala que la fecha del cierre y entrega de oferta debía ser el día 1 de marzo de 2018.</w:t>
      </w:r>
    </w:p>
    <w:p w:rsidR="00102DC0" w:rsidRPr="003904F7" w:rsidRDefault="00102DC0" w:rsidP="00102DC0">
      <w:pPr>
        <w:jc w:val="both"/>
        <w:rPr>
          <w:rFonts w:ascii="Arial" w:hAnsi="Arial" w:cs="Arial"/>
          <w:i/>
          <w:sz w:val="22"/>
          <w:szCs w:val="22"/>
        </w:rPr>
      </w:pPr>
      <w:r w:rsidRPr="003904F7">
        <w:rPr>
          <w:rFonts w:ascii="Arial" w:hAnsi="Arial" w:cs="Arial"/>
          <w:i/>
          <w:sz w:val="22"/>
          <w:szCs w:val="22"/>
        </w:rPr>
        <w:t>El proponente que observamos entregó el día 28 de febrero a las 3.53 p.m., incumpliendo con las condiciones establecidas en el pliego y desconociendo las respuestas a las observaciones que indicaban que debía darse cumplimiento a la fecha de entrega.</w:t>
      </w:r>
    </w:p>
    <w:p w:rsidR="00102DC0" w:rsidRPr="003904F7" w:rsidRDefault="00102DC0" w:rsidP="00102DC0">
      <w:pPr>
        <w:jc w:val="both"/>
        <w:rPr>
          <w:rFonts w:ascii="Arial" w:hAnsi="Arial" w:cs="Arial"/>
          <w:i/>
          <w:sz w:val="22"/>
          <w:szCs w:val="22"/>
        </w:rPr>
      </w:pPr>
      <w:r w:rsidRPr="003904F7">
        <w:rPr>
          <w:rFonts w:ascii="Arial" w:hAnsi="Arial" w:cs="Arial"/>
          <w:i/>
          <w:sz w:val="22"/>
          <w:szCs w:val="22"/>
        </w:rPr>
        <w:t>Muchos de los Invitados preguntamos cuál era el alcance de la tercera alternativa en caso de empate, esto es, en cuanto a la fecha de entrega de las propuestas por ello la entidad se pronunció en el siguiente sentido:</w:t>
      </w:r>
    </w:p>
    <w:p w:rsidR="00102DC0" w:rsidRPr="003904F7" w:rsidRDefault="00102DC0" w:rsidP="00102DC0">
      <w:pPr>
        <w:jc w:val="both"/>
        <w:rPr>
          <w:rFonts w:ascii="Arial" w:hAnsi="Arial" w:cs="Arial"/>
          <w:i/>
          <w:sz w:val="22"/>
          <w:szCs w:val="22"/>
        </w:rPr>
      </w:pPr>
    </w:p>
    <w:p w:rsidR="003904F7" w:rsidRPr="003904F7" w:rsidRDefault="003904F7" w:rsidP="003904F7">
      <w:pPr>
        <w:jc w:val="both"/>
        <w:rPr>
          <w:rFonts w:ascii="Arial" w:hAnsi="Arial" w:cs="Arial"/>
          <w:i/>
          <w:sz w:val="22"/>
          <w:szCs w:val="22"/>
        </w:rPr>
      </w:pPr>
      <w:r w:rsidRPr="003904F7">
        <w:rPr>
          <w:rFonts w:ascii="Arial" w:hAnsi="Arial" w:cs="Arial"/>
          <w:i/>
          <w:sz w:val="22"/>
          <w:szCs w:val="22"/>
        </w:rPr>
        <w:t>Respuesta</w:t>
      </w:r>
    </w:p>
    <w:p w:rsidR="003904F7" w:rsidRPr="003904F7" w:rsidRDefault="003904F7" w:rsidP="003904F7">
      <w:pPr>
        <w:jc w:val="both"/>
        <w:rPr>
          <w:rFonts w:ascii="Arial" w:hAnsi="Arial" w:cs="Arial"/>
          <w:i/>
          <w:sz w:val="22"/>
          <w:szCs w:val="22"/>
        </w:rPr>
      </w:pPr>
      <w:r w:rsidRPr="003904F7">
        <w:rPr>
          <w:rFonts w:ascii="Arial" w:hAnsi="Arial" w:cs="Arial"/>
          <w:i/>
          <w:sz w:val="22"/>
          <w:szCs w:val="22"/>
        </w:rPr>
        <w:t>No se acepta la observación. El numeral 7.2.6) del documento de condiciones generales señala el procedimiento adecuado en caso de presentarse empate con las propuestas presentadas. Dicho procedimiento, prevé tres (3) alternativas excluyentes entre sí, para la escogencia de la propuesta ganadora; i) mayor puntaje técnico, ii) mayor puntaje en el segundo de los factores técnicos y iii) la primera oferta presentada el día del cierre del proceso.</w:t>
      </w:r>
    </w:p>
    <w:p w:rsidR="003904F7" w:rsidRPr="003904F7" w:rsidRDefault="003904F7" w:rsidP="003904F7">
      <w:pPr>
        <w:jc w:val="both"/>
        <w:rPr>
          <w:rFonts w:ascii="Arial" w:hAnsi="Arial" w:cs="Arial"/>
          <w:i/>
          <w:sz w:val="22"/>
          <w:szCs w:val="22"/>
        </w:rPr>
      </w:pPr>
    </w:p>
    <w:p w:rsidR="003904F7" w:rsidRPr="003904F7" w:rsidRDefault="003904F7" w:rsidP="003904F7">
      <w:pPr>
        <w:jc w:val="both"/>
        <w:rPr>
          <w:rFonts w:ascii="Arial" w:hAnsi="Arial" w:cs="Arial"/>
          <w:i/>
          <w:sz w:val="22"/>
          <w:szCs w:val="22"/>
        </w:rPr>
      </w:pPr>
      <w:r w:rsidRPr="003904F7">
        <w:rPr>
          <w:rFonts w:ascii="Arial" w:hAnsi="Arial" w:cs="Arial"/>
          <w:i/>
          <w:sz w:val="22"/>
          <w:szCs w:val="22"/>
        </w:rPr>
        <w:t>La Entidad, cuyo régimen es especial y aplica el derecho privado, tiene el criterio de establecer y emplear las tres (3) alternativas anteriores para determinar la oferta ganadora en caso de constituirse un empate entre propuestas, razón por la cual, no se ve la necesidad de incluir otro procedimiento de los ya establecidos.</w:t>
      </w:r>
    </w:p>
    <w:p w:rsidR="003904F7" w:rsidRPr="003904F7" w:rsidRDefault="003904F7" w:rsidP="003904F7">
      <w:pPr>
        <w:jc w:val="both"/>
        <w:rPr>
          <w:rFonts w:ascii="Arial" w:hAnsi="Arial" w:cs="Arial"/>
          <w:i/>
          <w:sz w:val="22"/>
          <w:szCs w:val="22"/>
        </w:rPr>
      </w:pPr>
    </w:p>
    <w:p w:rsidR="003904F7" w:rsidRPr="003904F7" w:rsidRDefault="003904F7" w:rsidP="003904F7">
      <w:pPr>
        <w:jc w:val="both"/>
        <w:rPr>
          <w:rFonts w:ascii="Arial" w:hAnsi="Arial" w:cs="Arial"/>
          <w:i/>
          <w:sz w:val="22"/>
          <w:szCs w:val="22"/>
        </w:rPr>
      </w:pPr>
      <w:r w:rsidRPr="003904F7">
        <w:rPr>
          <w:rFonts w:ascii="Arial" w:hAnsi="Arial" w:cs="Arial"/>
          <w:i/>
          <w:sz w:val="22"/>
          <w:szCs w:val="22"/>
        </w:rPr>
        <w:t>En el caso concreto, la tercera alternativa (la primera oferta presentada el día del cierre del proceso) en ningún momento se presta para la subjetividad o interpretación errónea por parte de los participantes del proceso, ya que es un criterio claro que atiende a la objetividad de la hora en que se radique la propuesta por parte del proponente el día del cierre del proceso de selección.</w:t>
      </w:r>
    </w:p>
    <w:p w:rsidR="003904F7" w:rsidRDefault="003904F7" w:rsidP="00102DC0">
      <w:pPr>
        <w:jc w:val="both"/>
        <w:rPr>
          <w:rFonts w:ascii="Arial" w:hAnsi="Arial" w:cs="Arial"/>
          <w:sz w:val="22"/>
          <w:szCs w:val="22"/>
        </w:rPr>
      </w:pPr>
    </w:p>
    <w:p w:rsidR="003904F7" w:rsidRPr="00102DC0" w:rsidRDefault="003904F7" w:rsidP="00102DC0">
      <w:pPr>
        <w:jc w:val="both"/>
        <w:rPr>
          <w:rFonts w:ascii="Arial" w:hAnsi="Arial" w:cs="Arial"/>
          <w:sz w:val="22"/>
          <w:szCs w:val="22"/>
        </w:rPr>
      </w:pPr>
    </w:p>
    <w:p w:rsidR="00102DC0" w:rsidRPr="003904F7" w:rsidRDefault="00102DC0" w:rsidP="00102DC0">
      <w:pPr>
        <w:jc w:val="both"/>
        <w:rPr>
          <w:rFonts w:ascii="Arial" w:hAnsi="Arial" w:cs="Arial"/>
          <w:b/>
          <w:i/>
          <w:sz w:val="22"/>
          <w:szCs w:val="22"/>
          <w:u w:val="single"/>
        </w:rPr>
      </w:pPr>
      <w:r w:rsidRPr="003904F7">
        <w:rPr>
          <w:rFonts w:ascii="Arial" w:hAnsi="Arial" w:cs="Arial"/>
          <w:b/>
          <w:sz w:val="22"/>
          <w:szCs w:val="22"/>
        </w:rPr>
        <w:t>Respuesta:</w:t>
      </w:r>
      <w:r w:rsidR="003904F7">
        <w:rPr>
          <w:rFonts w:ascii="Arial" w:hAnsi="Arial" w:cs="Arial"/>
          <w:b/>
          <w:sz w:val="22"/>
          <w:szCs w:val="22"/>
        </w:rPr>
        <w:t xml:space="preserve"> </w:t>
      </w:r>
      <w:r w:rsidR="003904F7" w:rsidRPr="003904F7">
        <w:rPr>
          <w:rFonts w:ascii="Arial" w:hAnsi="Arial" w:cs="Arial"/>
          <w:sz w:val="22"/>
          <w:szCs w:val="22"/>
        </w:rPr>
        <w:t>: El ICFES le informa que en el documento de respuestas de fecha 26 de febrero en la observación No 7 de la empresa  AON RISK SERVICES COLOMBIA S.A CORREDORES DE SEGUROS, así  como en la observación No 3 de CORRECOL S.A y la No 3 de PROSEGUROS CORREDORES DE SEGUROS S.A .</w:t>
      </w:r>
      <w:r w:rsidR="003904F7">
        <w:rPr>
          <w:rFonts w:ascii="Arial" w:hAnsi="Arial" w:cs="Arial"/>
          <w:sz w:val="22"/>
          <w:szCs w:val="22"/>
        </w:rPr>
        <w:t xml:space="preserve">dejando claro que para el tercer criterio en caso de  empate se tiene como referencia </w:t>
      </w:r>
      <w:r w:rsidR="003904F7" w:rsidRPr="003904F7">
        <w:rPr>
          <w:rFonts w:ascii="Arial" w:hAnsi="Arial" w:cs="Arial"/>
          <w:b/>
          <w:i/>
          <w:sz w:val="22"/>
          <w:szCs w:val="22"/>
          <w:u w:val="single"/>
        </w:rPr>
        <w:t xml:space="preserve">que atiende a la objetividad de la hora en que se radique la propuesta por parte del proponente el día del cierre del proceso de selección.    </w:t>
      </w:r>
    </w:p>
    <w:p w:rsidR="00102DC0" w:rsidRPr="00102DC0" w:rsidRDefault="00102DC0" w:rsidP="00102DC0">
      <w:pPr>
        <w:jc w:val="both"/>
        <w:rPr>
          <w:rFonts w:ascii="Arial" w:hAnsi="Arial" w:cs="Arial"/>
          <w:sz w:val="22"/>
          <w:szCs w:val="22"/>
        </w:rPr>
      </w:pPr>
    </w:p>
    <w:p w:rsidR="00F74484" w:rsidRDefault="00F74484" w:rsidP="00102DC0">
      <w:pPr>
        <w:jc w:val="both"/>
        <w:rPr>
          <w:rFonts w:ascii="Arial" w:hAnsi="Arial" w:cs="Arial"/>
          <w:b/>
          <w:sz w:val="22"/>
          <w:szCs w:val="22"/>
        </w:rPr>
      </w:pPr>
    </w:p>
    <w:p w:rsidR="00102DC0" w:rsidRPr="00102DC0" w:rsidRDefault="00102DC0" w:rsidP="00102DC0">
      <w:pPr>
        <w:jc w:val="both"/>
        <w:rPr>
          <w:rFonts w:ascii="Arial" w:hAnsi="Arial" w:cs="Arial"/>
          <w:b/>
          <w:sz w:val="22"/>
          <w:szCs w:val="22"/>
        </w:rPr>
      </w:pPr>
      <w:r w:rsidRPr="00102DC0">
        <w:rPr>
          <w:rFonts w:ascii="Arial" w:hAnsi="Arial" w:cs="Arial"/>
          <w:b/>
          <w:sz w:val="22"/>
          <w:szCs w:val="22"/>
        </w:rPr>
        <w:t>Observación No 3</w:t>
      </w:r>
      <w:bookmarkStart w:id="0" w:name="_GoBack"/>
      <w:bookmarkEnd w:id="0"/>
    </w:p>
    <w:p w:rsidR="00102DC0" w:rsidRPr="00102DC0" w:rsidRDefault="00102DC0" w:rsidP="00102DC0">
      <w:pPr>
        <w:jc w:val="both"/>
        <w:rPr>
          <w:rFonts w:ascii="Arial" w:hAnsi="Arial" w:cs="Arial"/>
          <w:sz w:val="22"/>
          <w:szCs w:val="22"/>
        </w:rPr>
      </w:pPr>
    </w:p>
    <w:p w:rsidR="00102DC0" w:rsidRPr="00102DC0" w:rsidRDefault="00102DC0" w:rsidP="00102DC0">
      <w:pPr>
        <w:jc w:val="both"/>
        <w:rPr>
          <w:rFonts w:ascii="Arial" w:hAnsi="Arial" w:cs="Arial"/>
          <w:sz w:val="22"/>
          <w:szCs w:val="22"/>
        </w:rPr>
      </w:pPr>
      <w:r w:rsidRPr="00102DC0">
        <w:rPr>
          <w:rFonts w:ascii="Arial" w:hAnsi="Arial" w:cs="Arial"/>
          <w:sz w:val="22"/>
          <w:szCs w:val="22"/>
        </w:rPr>
        <w:t>OBSERVACIONES A LA OFERTA PRESENTADA POR CORRECOL</w:t>
      </w:r>
    </w:p>
    <w:p w:rsidR="00102DC0" w:rsidRPr="00102DC0" w:rsidRDefault="00102DC0" w:rsidP="00102DC0">
      <w:pPr>
        <w:jc w:val="both"/>
        <w:rPr>
          <w:rFonts w:ascii="Arial" w:hAnsi="Arial" w:cs="Arial"/>
          <w:sz w:val="22"/>
          <w:szCs w:val="22"/>
        </w:rPr>
      </w:pPr>
    </w:p>
    <w:p w:rsidR="00102DC0" w:rsidRPr="00102DC0" w:rsidRDefault="00102DC0" w:rsidP="00102DC0">
      <w:pPr>
        <w:jc w:val="both"/>
        <w:rPr>
          <w:rFonts w:ascii="Arial" w:hAnsi="Arial" w:cs="Arial"/>
          <w:sz w:val="22"/>
          <w:szCs w:val="22"/>
        </w:rPr>
      </w:pPr>
      <w:r w:rsidRPr="00102DC0">
        <w:rPr>
          <w:rFonts w:ascii="Arial" w:hAnsi="Arial" w:cs="Arial"/>
          <w:sz w:val="22"/>
          <w:szCs w:val="22"/>
        </w:rPr>
        <w:t>Solicitamos se mantenga el RECHAZO de la oferta en la evaluación definitiva, puesto no es posible se subsane la capacidad técnica del oferente.</w:t>
      </w:r>
    </w:p>
    <w:p w:rsidR="00102DC0" w:rsidRPr="00102DC0" w:rsidRDefault="00102DC0" w:rsidP="00102DC0">
      <w:pPr>
        <w:jc w:val="both"/>
        <w:rPr>
          <w:rFonts w:ascii="Arial" w:hAnsi="Arial" w:cs="Arial"/>
          <w:sz w:val="22"/>
          <w:szCs w:val="22"/>
        </w:rPr>
      </w:pPr>
    </w:p>
    <w:p w:rsidR="00102DC0" w:rsidRPr="00765724" w:rsidRDefault="00102DC0" w:rsidP="00102DC0">
      <w:pPr>
        <w:jc w:val="both"/>
        <w:rPr>
          <w:rFonts w:ascii="Arial" w:hAnsi="Arial" w:cs="Arial"/>
          <w:sz w:val="22"/>
          <w:szCs w:val="22"/>
        </w:rPr>
      </w:pPr>
      <w:r w:rsidRPr="00102DC0">
        <w:rPr>
          <w:rFonts w:ascii="Arial" w:hAnsi="Arial" w:cs="Arial"/>
          <w:b/>
          <w:sz w:val="22"/>
          <w:szCs w:val="22"/>
        </w:rPr>
        <w:t>Respuesta:</w:t>
      </w:r>
      <w:r w:rsidR="00765724" w:rsidRPr="00765724">
        <w:rPr>
          <w:rFonts w:ascii="Arial" w:hAnsi="Arial" w:cs="Arial"/>
          <w:b/>
          <w:sz w:val="22"/>
          <w:szCs w:val="22"/>
        </w:rPr>
        <w:t xml:space="preserve"> </w:t>
      </w:r>
      <w:r w:rsidR="00765724" w:rsidRPr="00765724">
        <w:rPr>
          <w:rFonts w:ascii="Arial" w:hAnsi="Arial" w:cs="Arial"/>
          <w:sz w:val="22"/>
          <w:szCs w:val="22"/>
        </w:rPr>
        <w:t xml:space="preserve">El ICFES no acepta su observación. Le informa que la capacidad </w:t>
      </w:r>
      <w:r w:rsidR="00417AEE" w:rsidRPr="00765724">
        <w:rPr>
          <w:rFonts w:ascii="Arial" w:hAnsi="Arial" w:cs="Arial"/>
          <w:sz w:val="22"/>
          <w:szCs w:val="22"/>
        </w:rPr>
        <w:t>técnica es</w:t>
      </w:r>
      <w:r w:rsidR="00765724" w:rsidRPr="00765724">
        <w:rPr>
          <w:rFonts w:ascii="Arial" w:hAnsi="Arial" w:cs="Arial"/>
          <w:sz w:val="22"/>
          <w:szCs w:val="22"/>
        </w:rPr>
        <w:t xml:space="preserve"> un requisito habilitante y por lo tanto subsanable.</w:t>
      </w:r>
    </w:p>
    <w:p w:rsidR="00102DC0" w:rsidRPr="00765724" w:rsidRDefault="00102DC0" w:rsidP="00102DC0">
      <w:pPr>
        <w:jc w:val="both"/>
        <w:rPr>
          <w:rFonts w:ascii="Arial" w:hAnsi="Arial" w:cs="Arial"/>
          <w:sz w:val="22"/>
          <w:szCs w:val="22"/>
        </w:rPr>
      </w:pPr>
    </w:p>
    <w:p w:rsidR="00102DC0" w:rsidRPr="00102DC0" w:rsidRDefault="00102DC0" w:rsidP="00102DC0">
      <w:pPr>
        <w:jc w:val="both"/>
        <w:rPr>
          <w:rFonts w:ascii="Arial" w:hAnsi="Arial" w:cs="Arial"/>
          <w:b/>
          <w:sz w:val="22"/>
          <w:szCs w:val="22"/>
        </w:rPr>
      </w:pPr>
      <w:r w:rsidRPr="00102DC0">
        <w:rPr>
          <w:rFonts w:ascii="Arial" w:hAnsi="Arial" w:cs="Arial"/>
          <w:b/>
          <w:sz w:val="22"/>
          <w:szCs w:val="22"/>
        </w:rPr>
        <w:t>Observación No 4</w:t>
      </w:r>
    </w:p>
    <w:p w:rsidR="00102DC0" w:rsidRPr="00102DC0" w:rsidRDefault="00102DC0" w:rsidP="00102DC0">
      <w:pPr>
        <w:jc w:val="both"/>
        <w:rPr>
          <w:rFonts w:ascii="Arial" w:hAnsi="Arial" w:cs="Arial"/>
          <w:sz w:val="22"/>
          <w:szCs w:val="22"/>
        </w:rPr>
      </w:pPr>
    </w:p>
    <w:p w:rsidR="00102DC0" w:rsidRPr="00102DC0" w:rsidRDefault="00102DC0" w:rsidP="00102DC0">
      <w:pPr>
        <w:jc w:val="both"/>
        <w:rPr>
          <w:rFonts w:ascii="Arial" w:hAnsi="Arial" w:cs="Arial"/>
          <w:i/>
          <w:sz w:val="22"/>
          <w:szCs w:val="22"/>
        </w:rPr>
      </w:pPr>
      <w:r w:rsidRPr="00102DC0">
        <w:rPr>
          <w:rFonts w:ascii="Arial" w:hAnsi="Arial" w:cs="Arial"/>
          <w:i/>
          <w:sz w:val="22"/>
          <w:szCs w:val="22"/>
        </w:rPr>
        <w:t>OBSERVACIONES A LA OFERTA PRESENTADA POR UNION TEMPORAL AVIA-OMEGA Solicitamos se proceda a RECHAZAR esta oferta por incurrir en una de las causales establecidas en el literal (o) del numeral 7.4 el cual estableció que incurriría en dicha causal, el proponente que no haya sido invitado, de conformidad con el manual de contratación del ICFES Acuerdo N° 006 del 2015.</w:t>
      </w:r>
    </w:p>
    <w:p w:rsidR="00102DC0" w:rsidRPr="00102DC0" w:rsidRDefault="00102DC0" w:rsidP="00102DC0">
      <w:pPr>
        <w:jc w:val="both"/>
        <w:rPr>
          <w:rFonts w:ascii="Arial" w:hAnsi="Arial" w:cs="Arial"/>
          <w:i/>
          <w:sz w:val="22"/>
          <w:szCs w:val="22"/>
        </w:rPr>
      </w:pPr>
      <w:r w:rsidRPr="00102DC0">
        <w:rPr>
          <w:rFonts w:ascii="Arial" w:hAnsi="Arial" w:cs="Arial"/>
          <w:i/>
          <w:sz w:val="22"/>
          <w:szCs w:val="22"/>
        </w:rPr>
        <w:t>Se observa como invitados a participar del proceso de contratación, dentro de la plataforma SECOP II, como invitación cerrada, además de a nuestra firma, a los siguientes Intermediarios de Seguros:</w:t>
      </w:r>
    </w:p>
    <w:p w:rsidR="00102DC0" w:rsidRPr="00102DC0" w:rsidRDefault="00102DC0" w:rsidP="00102DC0">
      <w:pPr>
        <w:jc w:val="both"/>
        <w:rPr>
          <w:rFonts w:ascii="Arial" w:hAnsi="Arial" w:cs="Arial"/>
          <w:i/>
          <w:sz w:val="22"/>
          <w:szCs w:val="22"/>
        </w:rPr>
      </w:pPr>
    </w:p>
    <w:p w:rsidR="00102DC0" w:rsidRPr="00102DC0" w:rsidRDefault="00102DC0" w:rsidP="00102DC0">
      <w:pPr>
        <w:jc w:val="both"/>
        <w:rPr>
          <w:rFonts w:ascii="Arial" w:hAnsi="Arial" w:cs="Arial"/>
          <w:i/>
          <w:sz w:val="22"/>
          <w:szCs w:val="22"/>
        </w:rPr>
      </w:pPr>
      <w:r w:rsidRPr="00102DC0">
        <w:rPr>
          <w:rFonts w:ascii="Arial" w:hAnsi="Arial" w:cs="Arial"/>
          <w:i/>
          <w:sz w:val="22"/>
          <w:szCs w:val="22"/>
        </w:rPr>
        <w:t>•</w:t>
      </w:r>
      <w:r w:rsidRPr="00102DC0">
        <w:rPr>
          <w:rFonts w:ascii="Arial" w:hAnsi="Arial" w:cs="Arial"/>
          <w:i/>
          <w:sz w:val="22"/>
          <w:szCs w:val="22"/>
        </w:rPr>
        <w:tab/>
        <w:t>AVIA CORREDORES DE SEGUROS S.A.</w:t>
      </w:r>
    </w:p>
    <w:p w:rsidR="00102DC0" w:rsidRPr="00102DC0" w:rsidRDefault="00102DC0" w:rsidP="00102DC0">
      <w:pPr>
        <w:jc w:val="both"/>
        <w:rPr>
          <w:rFonts w:ascii="Arial" w:hAnsi="Arial" w:cs="Arial"/>
          <w:i/>
          <w:sz w:val="22"/>
          <w:szCs w:val="22"/>
        </w:rPr>
      </w:pPr>
      <w:r w:rsidRPr="00102DC0">
        <w:rPr>
          <w:rFonts w:ascii="Arial" w:hAnsi="Arial" w:cs="Arial"/>
          <w:i/>
          <w:sz w:val="22"/>
          <w:szCs w:val="22"/>
        </w:rPr>
        <w:t>•</w:t>
      </w:r>
      <w:r w:rsidRPr="00102DC0">
        <w:rPr>
          <w:rFonts w:ascii="Arial" w:hAnsi="Arial" w:cs="Arial"/>
          <w:i/>
          <w:sz w:val="22"/>
          <w:szCs w:val="22"/>
        </w:rPr>
        <w:tab/>
        <w:t>CORRECOL CORREDORES DE SEGUROS S.A.</w:t>
      </w:r>
    </w:p>
    <w:p w:rsidR="00102DC0" w:rsidRPr="00102DC0" w:rsidRDefault="00102DC0" w:rsidP="00102DC0">
      <w:pPr>
        <w:jc w:val="both"/>
        <w:rPr>
          <w:rFonts w:ascii="Arial" w:hAnsi="Arial" w:cs="Arial"/>
          <w:i/>
          <w:sz w:val="22"/>
          <w:szCs w:val="22"/>
        </w:rPr>
      </w:pPr>
      <w:r w:rsidRPr="00102DC0">
        <w:rPr>
          <w:rFonts w:ascii="Arial" w:hAnsi="Arial" w:cs="Arial"/>
          <w:i/>
          <w:sz w:val="22"/>
          <w:szCs w:val="22"/>
        </w:rPr>
        <w:t>•</w:t>
      </w:r>
      <w:r w:rsidRPr="00102DC0">
        <w:rPr>
          <w:rFonts w:ascii="Arial" w:hAnsi="Arial" w:cs="Arial"/>
          <w:i/>
          <w:sz w:val="22"/>
          <w:szCs w:val="22"/>
        </w:rPr>
        <w:tab/>
        <w:t>PROMOTEC</w:t>
      </w:r>
    </w:p>
    <w:p w:rsidR="00102DC0" w:rsidRPr="00102DC0" w:rsidRDefault="00102DC0" w:rsidP="00102DC0">
      <w:pPr>
        <w:jc w:val="both"/>
        <w:rPr>
          <w:rFonts w:ascii="Arial" w:hAnsi="Arial" w:cs="Arial"/>
          <w:i/>
          <w:sz w:val="22"/>
          <w:szCs w:val="22"/>
        </w:rPr>
      </w:pPr>
      <w:r w:rsidRPr="00102DC0">
        <w:rPr>
          <w:rFonts w:ascii="Arial" w:hAnsi="Arial" w:cs="Arial"/>
          <w:i/>
          <w:sz w:val="22"/>
          <w:szCs w:val="22"/>
        </w:rPr>
        <w:t>•</w:t>
      </w:r>
      <w:r w:rsidRPr="00102DC0">
        <w:rPr>
          <w:rFonts w:ascii="Arial" w:hAnsi="Arial" w:cs="Arial"/>
          <w:i/>
          <w:sz w:val="22"/>
          <w:szCs w:val="22"/>
        </w:rPr>
        <w:tab/>
        <w:t>PROSEGUROS CORREDORES DE SEGUROS S.A.</w:t>
      </w:r>
    </w:p>
    <w:p w:rsidR="00102DC0" w:rsidRPr="00102DC0" w:rsidRDefault="00102DC0" w:rsidP="00102DC0">
      <w:pPr>
        <w:jc w:val="both"/>
        <w:rPr>
          <w:rFonts w:ascii="Arial" w:hAnsi="Arial" w:cs="Arial"/>
          <w:i/>
          <w:sz w:val="22"/>
          <w:szCs w:val="22"/>
        </w:rPr>
      </w:pPr>
    </w:p>
    <w:p w:rsidR="00102DC0" w:rsidRPr="00102DC0" w:rsidRDefault="00102DC0" w:rsidP="00102DC0">
      <w:pPr>
        <w:jc w:val="both"/>
        <w:rPr>
          <w:rFonts w:ascii="Arial" w:hAnsi="Arial" w:cs="Arial"/>
          <w:i/>
          <w:sz w:val="22"/>
          <w:szCs w:val="22"/>
        </w:rPr>
      </w:pPr>
      <w:r w:rsidRPr="00102DC0">
        <w:rPr>
          <w:rFonts w:ascii="Arial" w:hAnsi="Arial" w:cs="Arial"/>
          <w:i/>
          <w:sz w:val="22"/>
          <w:szCs w:val="22"/>
        </w:rPr>
        <w:t>Si bien es cierto el pliego permite la participan de Uniones Temporales o de Consorcios, no lo es que haya permitido que participe un Invitado con un NO invitado, como es el caso de la Unión Temporal que estamos observando, donde AVIA es Invitado y el otro miembro, esto es OMEGA, No lo fue</w:t>
      </w:r>
    </w:p>
    <w:p w:rsidR="00102DC0" w:rsidRPr="00102DC0" w:rsidRDefault="00102DC0" w:rsidP="00102DC0">
      <w:pPr>
        <w:jc w:val="both"/>
        <w:rPr>
          <w:rFonts w:ascii="Arial" w:hAnsi="Arial" w:cs="Arial"/>
          <w:i/>
          <w:sz w:val="22"/>
          <w:szCs w:val="22"/>
        </w:rPr>
      </w:pPr>
    </w:p>
    <w:p w:rsidR="00102DC0" w:rsidRPr="00102DC0" w:rsidRDefault="00102DC0" w:rsidP="00102DC0">
      <w:pPr>
        <w:jc w:val="both"/>
        <w:rPr>
          <w:rFonts w:ascii="Arial" w:hAnsi="Arial" w:cs="Arial"/>
          <w:i/>
          <w:sz w:val="22"/>
          <w:szCs w:val="22"/>
        </w:rPr>
      </w:pPr>
      <w:r w:rsidRPr="00102DC0">
        <w:rPr>
          <w:rFonts w:ascii="Arial" w:hAnsi="Arial" w:cs="Arial"/>
          <w:i/>
          <w:sz w:val="22"/>
          <w:szCs w:val="22"/>
        </w:rPr>
        <w:t>Es muy claro para nosotros y así lo debe ser para la Entidad que incurre en dicha causa y por lo tanto reiteramos que se declara su RECHAZO</w:t>
      </w:r>
    </w:p>
    <w:p w:rsidR="00102DC0" w:rsidRPr="00102DC0" w:rsidRDefault="00102DC0" w:rsidP="00102DC0">
      <w:pPr>
        <w:jc w:val="both"/>
        <w:rPr>
          <w:rFonts w:ascii="Arial" w:hAnsi="Arial" w:cs="Arial"/>
          <w:sz w:val="22"/>
          <w:szCs w:val="22"/>
        </w:rPr>
      </w:pPr>
    </w:p>
    <w:p w:rsidR="007B7702" w:rsidRDefault="00102DC0" w:rsidP="00102DC0">
      <w:pPr>
        <w:jc w:val="both"/>
        <w:rPr>
          <w:rFonts w:ascii="Arial" w:hAnsi="Arial" w:cs="Arial"/>
          <w:sz w:val="22"/>
          <w:szCs w:val="22"/>
        </w:rPr>
      </w:pPr>
      <w:r w:rsidRPr="00102DC0">
        <w:rPr>
          <w:rFonts w:ascii="Arial" w:hAnsi="Arial" w:cs="Arial"/>
          <w:b/>
          <w:sz w:val="22"/>
          <w:szCs w:val="22"/>
        </w:rPr>
        <w:t>Respuesta</w:t>
      </w:r>
      <w:r w:rsidRPr="00102DC0">
        <w:rPr>
          <w:rFonts w:ascii="Arial" w:hAnsi="Arial" w:cs="Arial"/>
          <w:sz w:val="22"/>
          <w:szCs w:val="22"/>
        </w:rPr>
        <w:t>: No se acepta la observación, remítase a la respuesta dada en la observación No 1, de este documento</w:t>
      </w:r>
    </w:p>
    <w:p w:rsidR="00102DC0" w:rsidRDefault="00102DC0" w:rsidP="00102DC0">
      <w:pPr>
        <w:jc w:val="both"/>
        <w:rPr>
          <w:rFonts w:ascii="Arial" w:hAnsi="Arial" w:cs="Arial"/>
          <w:sz w:val="22"/>
          <w:szCs w:val="22"/>
        </w:rPr>
      </w:pPr>
    </w:p>
    <w:p w:rsidR="00102DC0" w:rsidRDefault="00102DC0" w:rsidP="00102DC0">
      <w:pPr>
        <w:jc w:val="both"/>
        <w:rPr>
          <w:rFonts w:ascii="Arial" w:hAnsi="Arial" w:cs="Arial"/>
          <w:sz w:val="22"/>
          <w:szCs w:val="22"/>
        </w:rPr>
      </w:pPr>
    </w:p>
    <w:p w:rsidR="00102DC0" w:rsidRDefault="00102DC0" w:rsidP="00F74484">
      <w:pPr>
        <w:jc w:val="center"/>
        <w:rPr>
          <w:rFonts w:ascii="Arial" w:hAnsi="Arial" w:cs="Arial"/>
          <w:b/>
          <w:sz w:val="22"/>
          <w:szCs w:val="22"/>
        </w:rPr>
      </w:pPr>
      <w:r w:rsidRPr="00102DC0">
        <w:rPr>
          <w:rFonts w:ascii="Arial" w:hAnsi="Arial" w:cs="Arial"/>
          <w:b/>
          <w:sz w:val="22"/>
          <w:szCs w:val="22"/>
        </w:rPr>
        <w:t>CORREDORES 2018</w:t>
      </w:r>
    </w:p>
    <w:p w:rsidR="00102DC0" w:rsidRDefault="00102DC0" w:rsidP="00102DC0">
      <w:pPr>
        <w:jc w:val="both"/>
        <w:rPr>
          <w:rFonts w:ascii="Arial" w:hAnsi="Arial" w:cs="Arial"/>
          <w:b/>
          <w:sz w:val="22"/>
          <w:szCs w:val="22"/>
        </w:rPr>
      </w:pPr>
    </w:p>
    <w:p w:rsidR="00102DC0" w:rsidRDefault="00102DC0" w:rsidP="00102DC0">
      <w:pPr>
        <w:jc w:val="both"/>
        <w:rPr>
          <w:rFonts w:ascii="Arial" w:hAnsi="Arial" w:cs="Arial"/>
          <w:b/>
          <w:sz w:val="22"/>
          <w:szCs w:val="22"/>
        </w:rPr>
      </w:pPr>
      <w:r>
        <w:rPr>
          <w:rFonts w:ascii="Arial" w:hAnsi="Arial" w:cs="Arial"/>
          <w:b/>
          <w:sz w:val="22"/>
          <w:szCs w:val="22"/>
        </w:rPr>
        <w:t>Observación No 1</w:t>
      </w:r>
    </w:p>
    <w:p w:rsidR="00102DC0" w:rsidRDefault="00102DC0" w:rsidP="00102DC0">
      <w:pPr>
        <w:jc w:val="both"/>
        <w:rPr>
          <w:rFonts w:ascii="Arial" w:hAnsi="Arial" w:cs="Arial"/>
          <w:b/>
          <w:sz w:val="22"/>
          <w:szCs w:val="22"/>
        </w:rPr>
      </w:pPr>
    </w:p>
    <w:p w:rsidR="00102DC0" w:rsidRPr="00102DC0" w:rsidRDefault="00102DC0" w:rsidP="00102DC0">
      <w:pPr>
        <w:jc w:val="both"/>
        <w:rPr>
          <w:rFonts w:ascii="Arial" w:hAnsi="Arial" w:cs="Arial"/>
          <w:i/>
          <w:sz w:val="22"/>
          <w:szCs w:val="22"/>
        </w:rPr>
      </w:pPr>
      <w:r w:rsidRPr="00102DC0">
        <w:rPr>
          <w:rFonts w:ascii="Arial" w:hAnsi="Arial" w:cs="Arial"/>
          <w:i/>
          <w:sz w:val="22"/>
          <w:szCs w:val="22"/>
        </w:rPr>
        <w:t xml:space="preserve">Como empresa proponente del proceso citado en la </w:t>
      </w:r>
      <w:r w:rsidR="00417AEE" w:rsidRPr="00102DC0">
        <w:rPr>
          <w:rFonts w:ascii="Arial" w:hAnsi="Arial" w:cs="Arial"/>
          <w:i/>
          <w:sz w:val="22"/>
          <w:szCs w:val="22"/>
        </w:rPr>
        <w:t>referencia,</w:t>
      </w:r>
      <w:r w:rsidRPr="00102DC0">
        <w:rPr>
          <w:rFonts w:ascii="Arial" w:hAnsi="Arial" w:cs="Arial"/>
          <w:i/>
          <w:sz w:val="22"/>
          <w:szCs w:val="22"/>
        </w:rPr>
        <w:t xml:space="preserve"> y una vez subsanado lo correspondiente a nuestra oferta, y teniendo en cuenta los factores de desempate </w:t>
      </w:r>
      <w:r w:rsidRPr="00102DC0">
        <w:rPr>
          <w:rFonts w:ascii="Arial" w:hAnsi="Arial" w:cs="Arial"/>
          <w:i/>
          <w:sz w:val="22"/>
          <w:szCs w:val="22"/>
        </w:rPr>
        <w:lastRenderedPageBreak/>
        <w:t xml:space="preserve">establecidos en el pliego de condiciones, solicitamos que la invitación sea adjudicada a la unión temporal conformada por </w:t>
      </w:r>
      <w:proofErr w:type="spellStart"/>
      <w:r w:rsidRPr="00102DC0">
        <w:rPr>
          <w:rFonts w:ascii="Arial" w:hAnsi="Arial" w:cs="Arial"/>
          <w:i/>
          <w:sz w:val="22"/>
          <w:szCs w:val="22"/>
        </w:rPr>
        <w:t>Proseguros</w:t>
      </w:r>
      <w:proofErr w:type="spellEnd"/>
      <w:r w:rsidRPr="00102DC0">
        <w:rPr>
          <w:rFonts w:ascii="Arial" w:hAnsi="Arial" w:cs="Arial"/>
          <w:i/>
          <w:sz w:val="22"/>
          <w:szCs w:val="22"/>
        </w:rPr>
        <w:t xml:space="preserve"> S. </w:t>
      </w:r>
      <w:proofErr w:type="gramStart"/>
      <w:r w:rsidRPr="00102DC0">
        <w:rPr>
          <w:rFonts w:ascii="Arial" w:hAnsi="Arial" w:cs="Arial"/>
          <w:i/>
          <w:sz w:val="22"/>
          <w:szCs w:val="22"/>
        </w:rPr>
        <w:t>A  y</w:t>
      </w:r>
      <w:proofErr w:type="gramEnd"/>
      <w:r w:rsidRPr="00102DC0">
        <w:rPr>
          <w:rFonts w:ascii="Arial" w:hAnsi="Arial" w:cs="Arial"/>
          <w:i/>
          <w:sz w:val="22"/>
          <w:szCs w:val="22"/>
        </w:rPr>
        <w:t xml:space="preserve"> Willis Corredores de Seguros S.A, toda vez que nuestra oferta cumple con todos y cada uno de los requisitos técnicos jurídicos y financieros, exigidos por la Entidad, y fue entregada en primer lugar, acogiéndonos a lo indicado en el pliego de condiciones así:</w:t>
      </w:r>
    </w:p>
    <w:p w:rsidR="00102DC0" w:rsidRPr="00102DC0" w:rsidRDefault="00102DC0" w:rsidP="00102DC0">
      <w:pPr>
        <w:jc w:val="both"/>
        <w:rPr>
          <w:rFonts w:ascii="Arial" w:hAnsi="Arial" w:cs="Arial"/>
          <w:i/>
          <w:sz w:val="22"/>
          <w:szCs w:val="22"/>
        </w:rPr>
      </w:pPr>
    </w:p>
    <w:p w:rsidR="00102DC0" w:rsidRPr="00102DC0" w:rsidRDefault="00102DC0" w:rsidP="00102DC0">
      <w:pPr>
        <w:jc w:val="both"/>
        <w:rPr>
          <w:rFonts w:ascii="Arial" w:hAnsi="Arial" w:cs="Arial"/>
          <w:i/>
          <w:sz w:val="22"/>
          <w:szCs w:val="22"/>
        </w:rPr>
      </w:pPr>
      <w:r w:rsidRPr="00102DC0">
        <w:rPr>
          <w:rFonts w:ascii="Arial" w:hAnsi="Arial" w:cs="Arial"/>
          <w:i/>
          <w:sz w:val="22"/>
          <w:szCs w:val="22"/>
        </w:rPr>
        <w:t xml:space="preserve"> “Si persiste el empate una vez aplicados los dos primeros criterios, se escogerá la oferta que primero haya sido presentada, tomando como referencia el día y hora del entrega a la entidad en el marco del presente proceso de selección.”  (Negrilla y </w:t>
      </w:r>
      <w:proofErr w:type="spellStart"/>
      <w:r w:rsidRPr="00102DC0">
        <w:rPr>
          <w:rFonts w:ascii="Arial" w:hAnsi="Arial" w:cs="Arial"/>
          <w:i/>
          <w:sz w:val="22"/>
          <w:szCs w:val="22"/>
        </w:rPr>
        <w:t>subrrayado</w:t>
      </w:r>
      <w:proofErr w:type="spellEnd"/>
      <w:r w:rsidRPr="00102DC0">
        <w:rPr>
          <w:rFonts w:ascii="Arial" w:hAnsi="Arial" w:cs="Arial"/>
          <w:i/>
          <w:sz w:val="22"/>
          <w:szCs w:val="22"/>
        </w:rPr>
        <w:t xml:space="preserve"> fuera de texto)</w:t>
      </w:r>
    </w:p>
    <w:p w:rsidR="00102DC0" w:rsidRPr="00102DC0" w:rsidRDefault="00102DC0" w:rsidP="00102DC0">
      <w:pPr>
        <w:jc w:val="both"/>
        <w:rPr>
          <w:rFonts w:ascii="Arial" w:hAnsi="Arial" w:cs="Arial"/>
          <w:i/>
          <w:sz w:val="22"/>
          <w:szCs w:val="22"/>
        </w:rPr>
      </w:pPr>
      <w:r w:rsidRPr="00102DC0">
        <w:rPr>
          <w:rFonts w:ascii="Arial" w:hAnsi="Arial" w:cs="Arial"/>
          <w:i/>
          <w:sz w:val="22"/>
          <w:szCs w:val="22"/>
        </w:rPr>
        <w:t xml:space="preserve"> </w:t>
      </w:r>
    </w:p>
    <w:p w:rsidR="00102DC0" w:rsidRPr="00102DC0" w:rsidRDefault="00102DC0" w:rsidP="00102DC0">
      <w:pPr>
        <w:jc w:val="both"/>
        <w:rPr>
          <w:rFonts w:ascii="Arial" w:hAnsi="Arial" w:cs="Arial"/>
          <w:i/>
          <w:sz w:val="22"/>
          <w:szCs w:val="22"/>
        </w:rPr>
      </w:pPr>
      <w:r w:rsidRPr="00102DC0">
        <w:rPr>
          <w:rFonts w:ascii="Arial" w:hAnsi="Arial" w:cs="Arial"/>
          <w:i/>
          <w:sz w:val="22"/>
          <w:szCs w:val="22"/>
        </w:rPr>
        <w:t>Agradecemos su amable atención, y esperamos que nuestras observaciones sean de recibo por parte de la Entidad.</w:t>
      </w:r>
    </w:p>
    <w:p w:rsidR="00102DC0" w:rsidRDefault="00102DC0" w:rsidP="00102DC0">
      <w:pPr>
        <w:jc w:val="both"/>
        <w:rPr>
          <w:rFonts w:ascii="Arial" w:hAnsi="Arial" w:cs="Arial"/>
          <w:i/>
          <w:sz w:val="22"/>
          <w:szCs w:val="22"/>
        </w:rPr>
      </w:pPr>
    </w:p>
    <w:p w:rsidR="00102DC0" w:rsidRDefault="00102DC0" w:rsidP="00102DC0">
      <w:pPr>
        <w:jc w:val="both"/>
        <w:rPr>
          <w:rFonts w:ascii="Arial" w:hAnsi="Arial" w:cs="Arial"/>
          <w:i/>
          <w:sz w:val="22"/>
          <w:szCs w:val="22"/>
        </w:rPr>
      </w:pPr>
    </w:p>
    <w:p w:rsidR="00102DC0" w:rsidRDefault="00102DC0" w:rsidP="00346C9A">
      <w:pPr>
        <w:jc w:val="both"/>
        <w:rPr>
          <w:rFonts w:ascii="Arial" w:hAnsi="Arial" w:cs="Arial"/>
          <w:sz w:val="22"/>
          <w:szCs w:val="22"/>
        </w:rPr>
      </w:pPr>
      <w:r>
        <w:rPr>
          <w:rFonts w:ascii="Arial" w:hAnsi="Arial" w:cs="Arial"/>
          <w:b/>
          <w:sz w:val="22"/>
          <w:szCs w:val="22"/>
        </w:rPr>
        <w:t xml:space="preserve">Respuesta: </w:t>
      </w:r>
      <w:r w:rsidR="003904F7" w:rsidRPr="003904F7">
        <w:rPr>
          <w:rFonts w:ascii="Arial" w:hAnsi="Arial" w:cs="Arial"/>
          <w:sz w:val="22"/>
          <w:szCs w:val="22"/>
        </w:rPr>
        <w:t xml:space="preserve">No se acepta la observación, remítase a la respuesta dada en la observación No </w:t>
      </w:r>
      <w:r w:rsidR="003904F7">
        <w:rPr>
          <w:rFonts w:ascii="Arial" w:hAnsi="Arial" w:cs="Arial"/>
          <w:sz w:val="22"/>
          <w:szCs w:val="22"/>
        </w:rPr>
        <w:t>2</w:t>
      </w:r>
      <w:r w:rsidR="003904F7" w:rsidRPr="003904F7">
        <w:rPr>
          <w:rFonts w:ascii="Arial" w:hAnsi="Arial" w:cs="Arial"/>
          <w:sz w:val="22"/>
          <w:szCs w:val="22"/>
        </w:rPr>
        <w:t>, de este documento</w:t>
      </w:r>
      <w:r w:rsidR="00346C9A" w:rsidRPr="00346C9A">
        <w:t xml:space="preserve"> </w:t>
      </w:r>
      <w:r w:rsidR="00346C9A" w:rsidRPr="00346C9A">
        <w:rPr>
          <w:rFonts w:ascii="Arial" w:hAnsi="Arial" w:cs="Arial"/>
          <w:sz w:val="22"/>
          <w:szCs w:val="22"/>
        </w:rPr>
        <w:t xml:space="preserve">presentada por la Empresa </w:t>
      </w:r>
      <w:proofErr w:type="spellStart"/>
      <w:r w:rsidR="00346C9A" w:rsidRPr="00346C9A">
        <w:rPr>
          <w:rFonts w:ascii="Arial" w:hAnsi="Arial" w:cs="Arial"/>
          <w:sz w:val="22"/>
          <w:szCs w:val="22"/>
        </w:rPr>
        <w:t>AON</w:t>
      </w:r>
      <w:proofErr w:type="spellEnd"/>
      <w:r w:rsidR="00346C9A">
        <w:rPr>
          <w:rFonts w:ascii="Arial" w:hAnsi="Arial" w:cs="Arial"/>
          <w:sz w:val="22"/>
          <w:szCs w:val="22"/>
        </w:rPr>
        <w:t xml:space="preserve"> </w:t>
      </w:r>
      <w:r w:rsidR="00346C9A" w:rsidRPr="00346C9A">
        <w:rPr>
          <w:rFonts w:ascii="Arial" w:hAnsi="Arial" w:cs="Arial"/>
          <w:sz w:val="22"/>
          <w:szCs w:val="22"/>
        </w:rPr>
        <w:t>Colombia S.A.</w:t>
      </w:r>
    </w:p>
    <w:p w:rsidR="00213B7C" w:rsidRDefault="00213B7C" w:rsidP="00346C9A">
      <w:pPr>
        <w:jc w:val="both"/>
        <w:rPr>
          <w:rFonts w:ascii="Arial" w:hAnsi="Arial" w:cs="Arial"/>
          <w:sz w:val="22"/>
          <w:szCs w:val="22"/>
        </w:rPr>
      </w:pPr>
    </w:p>
    <w:p w:rsidR="00213B7C" w:rsidRDefault="00213B7C" w:rsidP="00346C9A">
      <w:pPr>
        <w:jc w:val="both"/>
        <w:rPr>
          <w:rFonts w:ascii="Arial" w:hAnsi="Arial" w:cs="Arial"/>
          <w:sz w:val="22"/>
          <w:szCs w:val="22"/>
        </w:rPr>
      </w:pPr>
    </w:p>
    <w:p w:rsidR="00213B7C" w:rsidRPr="00213B7C" w:rsidRDefault="00213B7C" w:rsidP="00213B7C">
      <w:pPr>
        <w:jc w:val="both"/>
        <w:rPr>
          <w:rFonts w:ascii="Arial" w:hAnsi="Arial" w:cs="Arial"/>
          <w:sz w:val="22"/>
          <w:szCs w:val="22"/>
        </w:rPr>
      </w:pPr>
      <w:r>
        <w:rPr>
          <w:rFonts w:ascii="Arial" w:hAnsi="Arial" w:cs="Arial"/>
          <w:sz w:val="22"/>
          <w:szCs w:val="22"/>
        </w:rPr>
        <w:t xml:space="preserve">Frente a la Subsanación el </w:t>
      </w:r>
      <w:proofErr w:type="spellStart"/>
      <w:r>
        <w:rPr>
          <w:rFonts w:ascii="Arial" w:hAnsi="Arial" w:cs="Arial"/>
          <w:sz w:val="22"/>
          <w:szCs w:val="22"/>
        </w:rPr>
        <w:t>icfes</w:t>
      </w:r>
      <w:proofErr w:type="spellEnd"/>
      <w:r>
        <w:rPr>
          <w:rFonts w:ascii="Arial" w:hAnsi="Arial" w:cs="Arial"/>
          <w:sz w:val="22"/>
          <w:szCs w:val="22"/>
        </w:rPr>
        <w:t xml:space="preserve"> le informa que </w:t>
      </w:r>
      <w:r w:rsidRPr="00213B7C">
        <w:rPr>
          <w:rFonts w:ascii="Arial" w:hAnsi="Arial" w:cs="Arial"/>
          <w:sz w:val="22"/>
          <w:szCs w:val="22"/>
        </w:rPr>
        <w:t xml:space="preserve">El integrante </w:t>
      </w:r>
      <w:proofErr w:type="spellStart"/>
      <w:r w:rsidRPr="00213B7C">
        <w:rPr>
          <w:rFonts w:ascii="Arial" w:hAnsi="Arial" w:cs="Arial"/>
          <w:sz w:val="22"/>
          <w:szCs w:val="22"/>
        </w:rPr>
        <w:t>Proseguros</w:t>
      </w:r>
      <w:proofErr w:type="spellEnd"/>
      <w:r w:rsidRPr="00213B7C">
        <w:rPr>
          <w:rFonts w:ascii="Arial" w:hAnsi="Arial" w:cs="Arial"/>
          <w:sz w:val="22"/>
          <w:szCs w:val="22"/>
        </w:rPr>
        <w:t xml:space="preserve"> </w:t>
      </w:r>
      <w:proofErr w:type="spellStart"/>
      <w:r w:rsidRPr="00213B7C">
        <w:rPr>
          <w:rFonts w:ascii="Arial" w:hAnsi="Arial" w:cs="Arial"/>
          <w:sz w:val="22"/>
          <w:szCs w:val="22"/>
        </w:rPr>
        <w:t>S.A</w:t>
      </w:r>
      <w:proofErr w:type="spellEnd"/>
      <w:r w:rsidRPr="00213B7C">
        <w:rPr>
          <w:rFonts w:ascii="Arial" w:hAnsi="Arial" w:cs="Arial"/>
          <w:sz w:val="22"/>
          <w:szCs w:val="22"/>
        </w:rPr>
        <w:t xml:space="preserve"> anexo los antecedentes de la contadora y los documentos de tarjeta profesional y antecedentes disciplinarios del revisor fiscal, no obstante, el integrante Willis Colombia Corredores de Seguros </w:t>
      </w:r>
      <w:proofErr w:type="spellStart"/>
      <w:r w:rsidRPr="00213B7C">
        <w:rPr>
          <w:rFonts w:ascii="Arial" w:hAnsi="Arial" w:cs="Arial"/>
          <w:sz w:val="22"/>
          <w:szCs w:val="22"/>
        </w:rPr>
        <w:t>S.A</w:t>
      </w:r>
      <w:proofErr w:type="spellEnd"/>
      <w:r w:rsidRPr="00213B7C">
        <w:rPr>
          <w:rFonts w:ascii="Arial" w:hAnsi="Arial" w:cs="Arial"/>
          <w:sz w:val="22"/>
          <w:szCs w:val="22"/>
        </w:rPr>
        <w:t xml:space="preserve"> no presento los documentos de tarjeta profesional y antecedentes disciplinarios del Revisor Fiscal (Andrea Vallejo).</w:t>
      </w:r>
    </w:p>
    <w:p w:rsidR="00213B7C" w:rsidRPr="00213B7C" w:rsidRDefault="00213B7C" w:rsidP="00213B7C">
      <w:pPr>
        <w:jc w:val="both"/>
        <w:rPr>
          <w:rFonts w:ascii="Arial" w:hAnsi="Arial" w:cs="Arial"/>
          <w:sz w:val="22"/>
          <w:szCs w:val="22"/>
        </w:rPr>
      </w:pPr>
    </w:p>
    <w:p w:rsidR="00213B7C" w:rsidRPr="00B5300A" w:rsidRDefault="00213B7C" w:rsidP="00213B7C">
      <w:pPr>
        <w:jc w:val="both"/>
        <w:rPr>
          <w:rFonts w:ascii="Arial" w:hAnsi="Arial" w:cs="Arial"/>
          <w:b/>
          <w:i/>
          <w:sz w:val="22"/>
          <w:szCs w:val="22"/>
          <w:u w:val="single"/>
        </w:rPr>
      </w:pPr>
      <w:r w:rsidRPr="00213B7C">
        <w:rPr>
          <w:rFonts w:ascii="Arial" w:hAnsi="Arial" w:cs="Arial"/>
          <w:sz w:val="22"/>
          <w:szCs w:val="22"/>
        </w:rPr>
        <w:t xml:space="preserve">La empresa WILLIS COLOMBIA CORREDORES DE SEGUROS </w:t>
      </w:r>
      <w:proofErr w:type="spellStart"/>
      <w:r w:rsidRPr="00213B7C">
        <w:rPr>
          <w:rFonts w:ascii="Arial" w:hAnsi="Arial" w:cs="Arial"/>
          <w:sz w:val="22"/>
          <w:szCs w:val="22"/>
        </w:rPr>
        <w:t>S.A</w:t>
      </w:r>
      <w:proofErr w:type="spellEnd"/>
      <w:r w:rsidRPr="00213B7C">
        <w:rPr>
          <w:rFonts w:ascii="Arial" w:hAnsi="Arial" w:cs="Arial"/>
          <w:sz w:val="22"/>
          <w:szCs w:val="22"/>
        </w:rPr>
        <w:t xml:space="preserve"> debía aportar fotocopia de la tarjeta profesional y certificado de antecedentes disciplinarios del contador público que certifica los estados financieros, y del revisor fiscal que dictamina los estados financieros (Andrea Vallejo) dando cumplimiento al numeral 4.2.2.2, sin embargo, los documentos adjuntados de Cindy Tatiana Páez y de Carlos Andrés Cadena pinto no corresponden al revisor fiscal que firma y dictamina los estados financieros.</w:t>
      </w:r>
    </w:p>
    <w:sectPr w:rsidR="00213B7C" w:rsidRPr="00B5300A" w:rsidSect="009E6478">
      <w:headerReference w:type="even" r:id="rId8"/>
      <w:headerReference w:type="default" r:id="rId9"/>
      <w:headerReference w:type="first" r:id="rId10"/>
      <w:pgSz w:w="12240" w:h="15840"/>
      <w:pgMar w:top="2410" w:right="1695" w:bottom="191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A50" w:rsidRDefault="004B3A50" w:rsidP="001878E9">
      <w:r>
        <w:separator/>
      </w:r>
    </w:p>
  </w:endnote>
  <w:endnote w:type="continuationSeparator" w:id="0">
    <w:p w:rsidR="004B3A50" w:rsidRDefault="004B3A50" w:rsidP="00187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A50" w:rsidRDefault="004B3A50" w:rsidP="001878E9">
      <w:r>
        <w:separator/>
      </w:r>
    </w:p>
  </w:footnote>
  <w:footnote w:type="continuationSeparator" w:id="0">
    <w:p w:rsidR="004B3A50" w:rsidRDefault="004B3A50" w:rsidP="001878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8E9" w:rsidRDefault="00184A82">
    <w:pPr>
      <w:pStyle w:val="Encabezado"/>
    </w:pPr>
    <w:r>
      <w:rPr>
        <w:noProof/>
        <w:lang w:val="es-CO" w:eastAsia="es-CO"/>
      </w:rPr>
      <w:drawing>
        <wp:anchor distT="0" distB="0" distL="114300" distR="114300" simplePos="0" relativeHeight="251655680" behindDoc="1" locked="0" layoutInCell="1" allowOverlap="1" wp14:anchorId="2334CA56" wp14:editId="3B431A96">
          <wp:simplePos x="0" y="0"/>
          <wp:positionH relativeFrom="margin">
            <wp:align>center</wp:align>
          </wp:positionH>
          <wp:positionV relativeFrom="margin">
            <wp:align>center</wp:align>
          </wp:positionV>
          <wp:extent cx="5611495" cy="7261860"/>
          <wp:effectExtent l="0" t="0" r="8255" b="0"/>
          <wp:wrapNone/>
          <wp:docPr id="21" name="Imagen 21" descr="HojaCarta_Icfes_20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jaCarta_Icfes_2018-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7261860"/>
                  </a:xfrm>
                  <a:prstGeom prst="rect">
                    <a:avLst/>
                  </a:prstGeom>
                  <a:noFill/>
                </pic:spPr>
              </pic:pic>
            </a:graphicData>
          </a:graphic>
          <wp14:sizeRelH relativeFrom="page">
            <wp14:pctWidth>0</wp14:pctWidth>
          </wp14:sizeRelH>
          <wp14:sizeRelV relativeFrom="page">
            <wp14:pctHeight>0</wp14:pctHeight>
          </wp14:sizeRelV>
        </wp:anchor>
      </w:drawing>
    </w:r>
    <w:r w:rsidR="004B3A50">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8752;mso-wrap-edited:f;mso-position-horizontal:center;mso-position-horizontal-relative:margin;mso-position-vertical:center;mso-position-vertical-relative:margin" wrapcoords="-26 0 -26 21559 21600 21559 21600 0 -26 0">
          <v:imagedata r:id="rId2" o:title="HojaCarta_Icfes_2017-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8E9" w:rsidRDefault="004B3A50">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80.55pt;margin-top:-113.25pt;width:611.95pt;height:11in;z-index:-251656704;mso-wrap-edited:f;mso-position-horizontal-relative:margin;mso-position-vertical-relative:margin" wrapcoords="-36 0 -36 21543 21600 21543 21600 0 -36 0">
          <v:imagedata r:id="rId1" o:title="HojaCarta_Icfes_2018-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8E9" w:rsidRDefault="00184A82">
    <w:pPr>
      <w:pStyle w:val="Encabezado"/>
    </w:pPr>
    <w:r>
      <w:rPr>
        <w:noProof/>
        <w:lang w:val="es-CO" w:eastAsia="es-CO"/>
      </w:rPr>
      <w:drawing>
        <wp:anchor distT="0" distB="0" distL="114300" distR="114300" simplePos="0" relativeHeight="251656704" behindDoc="1" locked="0" layoutInCell="1" allowOverlap="1" wp14:anchorId="0FF2F0C4" wp14:editId="760B4C44">
          <wp:simplePos x="0" y="0"/>
          <wp:positionH relativeFrom="margin">
            <wp:align>center</wp:align>
          </wp:positionH>
          <wp:positionV relativeFrom="margin">
            <wp:align>center</wp:align>
          </wp:positionV>
          <wp:extent cx="5611495" cy="7261860"/>
          <wp:effectExtent l="0" t="0" r="8255" b="0"/>
          <wp:wrapNone/>
          <wp:docPr id="22" name="Imagen 22" descr="HojaCarta_Icfes_20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jaCarta_Icfes_2018-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7261860"/>
                  </a:xfrm>
                  <a:prstGeom prst="rect">
                    <a:avLst/>
                  </a:prstGeom>
                  <a:noFill/>
                </pic:spPr>
              </pic:pic>
            </a:graphicData>
          </a:graphic>
          <wp14:sizeRelH relativeFrom="page">
            <wp14:pctWidth>0</wp14:pctWidth>
          </wp14:sizeRelH>
          <wp14:sizeRelV relativeFrom="page">
            <wp14:pctHeight>0</wp14:pctHeight>
          </wp14:sizeRelV>
        </wp:anchor>
      </w:drawing>
    </w:r>
    <w:r w:rsidR="004B3A50">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7728;mso-wrap-edited:f;mso-position-horizontal:center;mso-position-horizontal-relative:margin;mso-position-vertical:center;mso-position-vertical-relative:margin" wrapcoords="-26 0 -26 21559 21600 21559 21600 0 -26 0">
          <v:imagedata r:id="rId2" o:title="HojaCarta_Icfes_2017-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17BB6"/>
    <w:multiLevelType w:val="hybridMultilevel"/>
    <w:tmpl w:val="B230625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8366506"/>
    <w:multiLevelType w:val="multilevel"/>
    <w:tmpl w:val="B1F46C24"/>
    <w:lvl w:ilvl="0">
      <w:start w:val="1"/>
      <w:numFmt w:val="decimal"/>
      <w:pStyle w:val="Ttulo1"/>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pStyle w:val="Ttulo2"/>
      <w:lvlText w:val="%1.%2."/>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5473417"/>
    <w:multiLevelType w:val="hybridMultilevel"/>
    <w:tmpl w:val="65804CD6"/>
    <w:lvl w:ilvl="0" w:tplc="240A0019">
      <w:start w:val="1"/>
      <w:numFmt w:val="lowerLetter"/>
      <w:lvlText w:val="%1."/>
      <w:lvlJc w:val="left"/>
      <w:pPr>
        <w:ind w:left="720" w:hanging="360"/>
      </w:pPr>
    </w:lvl>
    <w:lvl w:ilvl="1" w:tplc="09FA15D6">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F5F51FF"/>
    <w:multiLevelType w:val="hybridMultilevel"/>
    <w:tmpl w:val="DB6EC058"/>
    <w:lvl w:ilvl="0" w:tplc="AA6C5E9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1B25421"/>
    <w:multiLevelType w:val="hybridMultilevel"/>
    <w:tmpl w:val="43B4CF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8F20DBD"/>
    <w:multiLevelType w:val="hybridMultilevel"/>
    <w:tmpl w:val="57ACBC18"/>
    <w:lvl w:ilvl="0" w:tplc="240A0019">
      <w:start w:val="1"/>
      <w:numFmt w:val="lowerLetter"/>
      <w:lvlText w:val="%1."/>
      <w:lvlJc w:val="left"/>
      <w:pPr>
        <w:ind w:left="644" w:hanging="360"/>
      </w:pPr>
    </w:lvl>
    <w:lvl w:ilvl="1" w:tplc="240A0019" w:tentative="1">
      <w:start w:val="1"/>
      <w:numFmt w:val="lowerLetter"/>
      <w:lvlText w:val="%2."/>
      <w:lvlJc w:val="left"/>
      <w:pPr>
        <w:ind w:left="1425" w:hanging="360"/>
      </w:pPr>
    </w:lvl>
    <w:lvl w:ilvl="2" w:tplc="240A001B" w:tentative="1">
      <w:start w:val="1"/>
      <w:numFmt w:val="lowerRoman"/>
      <w:lvlText w:val="%3."/>
      <w:lvlJc w:val="right"/>
      <w:pPr>
        <w:ind w:left="2145" w:hanging="180"/>
      </w:pPr>
    </w:lvl>
    <w:lvl w:ilvl="3" w:tplc="240A000F" w:tentative="1">
      <w:start w:val="1"/>
      <w:numFmt w:val="decimal"/>
      <w:lvlText w:val="%4."/>
      <w:lvlJc w:val="left"/>
      <w:pPr>
        <w:ind w:left="2865" w:hanging="360"/>
      </w:pPr>
    </w:lvl>
    <w:lvl w:ilvl="4" w:tplc="240A0019" w:tentative="1">
      <w:start w:val="1"/>
      <w:numFmt w:val="lowerLetter"/>
      <w:lvlText w:val="%5."/>
      <w:lvlJc w:val="left"/>
      <w:pPr>
        <w:ind w:left="3585" w:hanging="360"/>
      </w:pPr>
    </w:lvl>
    <w:lvl w:ilvl="5" w:tplc="240A001B" w:tentative="1">
      <w:start w:val="1"/>
      <w:numFmt w:val="lowerRoman"/>
      <w:lvlText w:val="%6."/>
      <w:lvlJc w:val="right"/>
      <w:pPr>
        <w:ind w:left="4305" w:hanging="180"/>
      </w:pPr>
    </w:lvl>
    <w:lvl w:ilvl="6" w:tplc="240A000F" w:tentative="1">
      <w:start w:val="1"/>
      <w:numFmt w:val="decimal"/>
      <w:lvlText w:val="%7."/>
      <w:lvlJc w:val="left"/>
      <w:pPr>
        <w:ind w:left="5025" w:hanging="360"/>
      </w:pPr>
    </w:lvl>
    <w:lvl w:ilvl="7" w:tplc="240A0019" w:tentative="1">
      <w:start w:val="1"/>
      <w:numFmt w:val="lowerLetter"/>
      <w:lvlText w:val="%8."/>
      <w:lvlJc w:val="left"/>
      <w:pPr>
        <w:ind w:left="5745" w:hanging="360"/>
      </w:pPr>
    </w:lvl>
    <w:lvl w:ilvl="8" w:tplc="240A001B" w:tentative="1">
      <w:start w:val="1"/>
      <w:numFmt w:val="lowerRoman"/>
      <w:lvlText w:val="%9."/>
      <w:lvlJc w:val="right"/>
      <w:pPr>
        <w:ind w:left="6465" w:hanging="180"/>
      </w:pPr>
    </w:lvl>
  </w:abstractNum>
  <w:abstractNum w:abstractNumId="6" w15:restartNumberingAfterBreak="0">
    <w:nsid w:val="6F8D4EF3"/>
    <w:multiLevelType w:val="hybridMultilevel"/>
    <w:tmpl w:val="BAE2E7D0"/>
    <w:lvl w:ilvl="0" w:tplc="240A0019">
      <w:start w:val="1"/>
      <w:numFmt w:val="lowerLetter"/>
      <w:lvlText w:val="%1."/>
      <w:lvlJc w:val="left"/>
      <w:pPr>
        <w:ind w:left="705" w:hanging="360"/>
      </w:pPr>
    </w:lvl>
    <w:lvl w:ilvl="1" w:tplc="240A0019" w:tentative="1">
      <w:start w:val="1"/>
      <w:numFmt w:val="lowerLetter"/>
      <w:lvlText w:val="%2."/>
      <w:lvlJc w:val="left"/>
      <w:pPr>
        <w:ind w:left="1425" w:hanging="360"/>
      </w:pPr>
    </w:lvl>
    <w:lvl w:ilvl="2" w:tplc="240A001B" w:tentative="1">
      <w:start w:val="1"/>
      <w:numFmt w:val="lowerRoman"/>
      <w:lvlText w:val="%3."/>
      <w:lvlJc w:val="right"/>
      <w:pPr>
        <w:ind w:left="2145" w:hanging="180"/>
      </w:pPr>
    </w:lvl>
    <w:lvl w:ilvl="3" w:tplc="240A000F" w:tentative="1">
      <w:start w:val="1"/>
      <w:numFmt w:val="decimal"/>
      <w:lvlText w:val="%4."/>
      <w:lvlJc w:val="left"/>
      <w:pPr>
        <w:ind w:left="2865" w:hanging="360"/>
      </w:pPr>
    </w:lvl>
    <w:lvl w:ilvl="4" w:tplc="240A0019" w:tentative="1">
      <w:start w:val="1"/>
      <w:numFmt w:val="lowerLetter"/>
      <w:lvlText w:val="%5."/>
      <w:lvlJc w:val="left"/>
      <w:pPr>
        <w:ind w:left="3585" w:hanging="360"/>
      </w:pPr>
    </w:lvl>
    <w:lvl w:ilvl="5" w:tplc="240A001B" w:tentative="1">
      <w:start w:val="1"/>
      <w:numFmt w:val="lowerRoman"/>
      <w:lvlText w:val="%6."/>
      <w:lvlJc w:val="right"/>
      <w:pPr>
        <w:ind w:left="4305" w:hanging="180"/>
      </w:pPr>
    </w:lvl>
    <w:lvl w:ilvl="6" w:tplc="240A000F" w:tentative="1">
      <w:start w:val="1"/>
      <w:numFmt w:val="decimal"/>
      <w:lvlText w:val="%7."/>
      <w:lvlJc w:val="left"/>
      <w:pPr>
        <w:ind w:left="5025" w:hanging="360"/>
      </w:pPr>
    </w:lvl>
    <w:lvl w:ilvl="7" w:tplc="240A0019" w:tentative="1">
      <w:start w:val="1"/>
      <w:numFmt w:val="lowerLetter"/>
      <w:lvlText w:val="%8."/>
      <w:lvlJc w:val="left"/>
      <w:pPr>
        <w:ind w:left="5745" w:hanging="360"/>
      </w:pPr>
    </w:lvl>
    <w:lvl w:ilvl="8" w:tplc="240A001B" w:tentative="1">
      <w:start w:val="1"/>
      <w:numFmt w:val="lowerRoman"/>
      <w:lvlText w:val="%9."/>
      <w:lvlJc w:val="right"/>
      <w:pPr>
        <w:ind w:left="6465" w:hanging="180"/>
      </w:pPr>
    </w:lvl>
  </w:abstractNum>
  <w:abstractNum w:abstractNumId="7" w15:restartNumberingAfterBreak="0">
    <w:nsid w:val="717A152E"/>
    <w:multiLevelType w:val="hybridMultilevel"/>
    <w:tmpl w:val="57ACBC18"/>
    <w:lvl w:ilvl="0" w:tplc="240A0019">
      <w:start w:val="1"/>
      <w:numFmt w:val="lowerLetter"/>
      <w:lvlText w:val="%1."/>
      <w:lvlJc w:val="left"/>
      <w:pPr>
        <w:ind w:left="644" w:hanging="360"/>
      </w:pPr>
    </w:lvl>
    <w:lvl w:ilvl="1" w:tplc="240A0019" w:tentative="1">
      <w:start w:val="1"/>
      <w:numFmt w:val="lowerLetter"/>
      <w:lvlText w:val="%2."/>
      <w:lvlJc w:val="left"/>
      <w:pPr>
        <w:ind w:left="1425" w:hanging="360"/>
      </w:pPr>
    </w:lvl>
    <w:lvl w:ilvl="2" w:tplc="240A001B" w:tentative="1">
      <w:start w:val="1"/>
      <w:numFmt w:val="lowerRoman"/>
      <w:lvlText w:val="%3."/>
      <w:lvlJc w:val="right"/>
      <w:pPr>
        <w:ind w:left="2145" w:hanging="180"/>
      </w:pPr>
    </w:lvl>
    <w:lvl w:ilvl="3" w:tplc="240A000F" w:tentative="1">
      <w:start w:val="1"/>
      <w:numFmt w:val="decimal"/>
      <w:lvlText w:val="%4."/>
      <w:lvlJc w:val="left"/>
      <w:pPr>
        <w:ind w:left="2865" w:hanging="360"/>
      </w:pPr>
    </w:lvl>
    <w:lvl w:ilvl="4" w:tplc="240A0019" w:tentative="1">
      <w:start w:val="1"/>
      <w:numFmt w:val="lowerLetter"/>
      <w:lvlText w:val="%5."/>
      <w:lvlJc w:val="left"/>
      <w:pPr>
        <w:ind w:left="3585" w:hanging="360"/>
      </w:pPr>
    </w:lvl>
    <w:lvl w:ilvl="5" w:tplc="240A001B" w:tentative="1">
      <w:start w:val="1"/>
      <w:numFmt w:val="lowerRoman"/>
      <w:lvlText w:val="%6."/>
      <w:lvlJc w:val="right"/>
      <w:pPr>
        <w:ind w:left="4305" w:hanging="180"/>
      </w:pPr>
    </w:lvl>
    <w:lvl w:ilvl="6" w:tplc="240A000F" w:tentative="1">
      <w:start w:val="1"/>
      <w:numFmt w:val="decimal"/>
      <w:lvlText w:val="%7."/>
      <w:lvlJc w:val="left"/>
      <w:pPr>
        <w:ind w:left="5025" w:hanging="360"/>
      </w:pPr>
    </w:lvl>
    <w:lvl w:ilvl="7" w:tplc="240A0019" w:tentative="1">
      <w:start w:val="1"/>
      <w:numFmt w:val="lowerLetter"/>
      <w:lvlText w:val="%8."/>
      <w:lvlJc w:val="left"/>
      <w:pPr>
        <w:ind w:left="5745" w:hanging="360"/>
      </w:pPr>
    </w:lvl>
    <w:lvl w:ilvl="8" w:tplc="240A001B" w:tentative="1">
      <w:start w:val="1"/>
      <w:numFmt w:val="lowerRoman"/>
      <w:lvlText w:val="%9."/>
      <w:lvlJc w:val="right"/>
      <w:pPr>
        <w:ind w:left="6465" w:hanging="180"/>
      </w:pPr>
    </w:lvl>
  </w:abstractNum>
  <w:abstractNum w:abstractNumId="8" w15:restartNumberingAfterBreak="0">
    <w:nsid w:val="726F5451"/>
    <w:multiLevelType w:val="multilevel"/>
    <w:tmpl w:val="DD8827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6"/>
  </w:num>
  <w:num w:numId="3">
    <w:abstractNumId w:val="5"/>
  </w:num>
  <w:num w:numId="4">
    <w:abstractNumId w:val="7"/>
  </w:num>
  <w:num w:numId="5">
    <w:abstractNumId w:val="8"/>
  </w:num>
  <w:num w:numId="6">
    <w:abstractNumId w:val="3"/>
  </w:num>
  <w:num w:numId="7">
    <w:abstractNumId w:val="0"/>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8E9"/>
    <w:rsid w:val="000A3695"/>
    <w:rsid w:val="00102DC0"/>
    <w:rsid w:val="00143E4A"/>
    <w:rsid w:val="00184A82"/>
    <w:rsid w:val="001878E9"/>
    <w:rsid w:val="00213B7C"/>
    <w:rsid w:val="0025517E"/>
    <w:rsid w:val="00307E73"/>
    <w:rsid w:val="00320F81"/>
    <w:rsid w:val="00346C9A"/>
    <w:rsid w:val="003904F7"/>
    <w:rsid w:val="003E46CB"/>
    <w:rsid w:val="00414D3D"/>
    <w:rsid w:val="00417AEE"/>
    <w:rsid w:val="004B3A50"/>
    <w:rsid w:val="00765724"/>
    <w:rsid w:val="00786F22"/>
    <w:rsid w:val="007B7702"/>
    <w:rsid w:val="00812F47"/>
    <w:rsid w:val="00816D37"/>
    <w:rsid w:val="00845683"/>
    <w:rsid w:val="008A20CB"/>
    <w:rsid w:val="008C6868"/>
    <w:rsid w:val="008D3CF9"/>
    <w:rsid w:val="009137BA"/>
    <w:rsid w:val="009E6478"/>
    <w:rsid w:val="00AD2EBE"/>
    <w:rsid w:val="00B5300A"/>
    <w:rsid w:val="00C97B75"/>
    <w:rsid w:val="00F7448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B78E56B"/>
  <w14:defaultImageDpi w14:val="300"/>
  <w15:docId w15:val="{7F0AAA89-FC6B-43C2-8C53-0A30CD350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184A82"/>
    <w:pPr>
      <w:keepNext/>
      <w:keepLines/>
      <w:numPr>
        <w:numId w:val="1"/>
      </w:numPr>
      <w:spacing w:after="2" w:line="259" w:lineRule="auto"/>
      <w:ind w:left="10" w:right="10" w:hanging="10"/>
      <w:outlineLvl w:val="0"/>
    </w:pPr>
    <w:rPr>
      <w:rFonts w:ascii="Arial" w:eastAsia="Arial" w:hAnsi="Arial" w:cs="Arial"/>
      <w:b/>
      <w:color w:val="000000"/>
      <w:sz w:val="20"/>
      <w:szCs w:val="22"/>
      <w:lang w:val="es-CO" w:eastAsia="es-CO"/>
    </w:rPr>
  </w:style>
  <w:style w:type="paragraph" w:styleId="Ttulo2">
    <w:name w:val="heading 2"/>
    <w:next w:val="Normal"/>
    <w:link w:val="Ttulo2Car"/>
    <w:uiPriority w:val="9"/>
    <w:unhideWhenUsed/>
    <w:qFormat/>
    <w:rsid w:val="00184A82"/>
    <w:pPr>
      <w:keepNext/>
      <w:keepLines/>
      <w:numPr>
        <w:ilvl w:val="1"/>
        <w:numId w:val="1"/>
      </w:numPr>
      <w:spacing w:after="2" w:line="259" w:lineRule="auto"/>
      <w:ind w:left="10" w:right="10" w:hanging="10"/>
      <w:outlineLvl w:val="1"/>
    </w:pPr>
    <w:rPr>
      <w:rFonts w:ascii="Arial" w:eastAsia="Arial" w:hAnsi="Arial" w:cs="Arial"/>
      <w:b/>
      <w:color w:val="000000"/>
      <w:sz w:val="20"/>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78E9"/>
    <w:pPr>
      <w:tabs>
        <w:tab w:val="center" w:pos="4252"/>
        <w:tab w:val="right" w:pos="8504"/>
      </w:tabs>
    </w:pPr>
  </w:style>
  <w:style w:type="character" w:customStyle="1" w:styleId="EncabezadoCar">
    <w:name w:val="Encabezado Car"/>
    <w:basedOn w:val="Fuentedeprrafopredeter"/>
    <w:link w:val="Encabezado"/>
    <w:uiPriority w:val="99"/>
    <w:rsid w:val="001878E9"/>
  </w:style>
  <w:style w:type="paragraph" w:styleId="Piedepgina">
    <w:name w:val="footer"/>
    <w:basedOn w:val="Normal"/>
    <w:link w:val="PiedepginaCar"/>
    <w:uiPriority w:val="99"/>
    <w:unhideWhenUsed/>
    <w:rsid w:val="001878E9"/>
    <w:pPr>
      <w:tabs>
        <w:tab w:val="center" w:pos="4252"/>
        <w:tab w:val="right" w:pos="8504"/>
      </w:tabs>
    </w:pPr>
  </w:style>
  <w:style w:type="character" w:customStyle="1" w:styleId="PiedepginaCar">
    <w:name w:val="Pie de página Car"/>
    <w:basedOn w:val="Fuentedeprrafopredeter"/>
    <w:link w:val="Piedepgina"/>
    <w:uiPriority w:val="99"/>
    <w:rsid w:val="001878E9"/>
  </w:style>
  <w:style w:type="paragraph" w:styleId="Textodeglobo">
    <w:name w:val="Balloon Text"/>
    <w:basedOn w:val="Normal"/>
    <w:link w:val="TextodegloboCar"/>
    <w:uiPriority w:val="99"/>
    <w:semiHidden/>
    <w:unhideWhenUsed/>
    <w:rsid w:val="00307E7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07E73"/>
    <w:rPr>
      <w:rFonts w:ascii="Lucida Grande" w:hAnsi="Lucida Grande" w:cs="Lucida Grande"/>
      <w:sz w:val="18"/>
      <w:szCs w:val="18"/>
    </w:rPr>
  </w:style>
  <w:style w:type="character" w:customStyle="1" w:styleId="Ttulo1Car">
    <w:name w:val="Título 1 Car"/>
    <w:basedOn w:val="Fuentedeprrafopredeter"/>
    <w:link w:val="Ttulo1"/>
    <w:uiPriority w:val="9"/>
    <w:rsid w:val="00184A82"/>
    <w:rPr>
      <w:rFonts w:ascii="Arial" w:eastAsia="Arial" w:hAnsi="Arial" w:cs="Arial"/>
      <w:b/>
      <w:color w:val="000000"/>
      <w:sz w:val="20"/>
      <w:szCs w:val="22"/>
      <w:lang w:val="es-CO" w:eastAsia="es-CO"/>
    </w:rPr>
  </w:style>
  <w:style w:type="character" w:customStyle="1" w:styleId="Ttulo2Car">
    <w:name w:val="Título 2 Car"/>
    <w:basedOn w:val="Fuentedeprrafopredeter"/>
    <w:link w:val="Ttulo2"/>
    <w:uiPriority w:val="9"/>
    <w:rsid w:val="00184A82"/>
    <w:rPr>
      <w:rFonts w:ascii="Arial" w:eastAsia="Arial" w:hAnsi="Arial" w:cs="Arial"/>
      <w:b/>
      <w:color w:val="000000"/>
      <w:sz w:val="20"/>
      <w:szCs w:val="22"/>
      <w:lang w:val="es-CO" w:eastAsia="es-CO"/>
    </w:rPr>
  </w:style>
  <w:style w:type="table" w:customStyle="1" w:styleId="TableGrid">
    <w:name w:val="TableGrid"/>
    <w:rsid w:val="00184A82"/>
    <w:rPr>
      <w:sz w:val="22"/>
      <w:szCs w:val="22"/>
      <w:lang w:val="es-CO" w:eastAsia="es-CO"/>
    </w:rPr>
    <w:tblPr>
      <w:tblCellMar>
        <w:top w:w="0" w:type="dxa"/>
        <w:left w:w="0" w:type="dxa"/>
        <w:bottom w:w="0" w:type="dxa"/>
        <w:right w:w="0" w:type="dxa"/>
      </w:tblCellMar>
    </w:tblPr>
  </w:style>
  <w:style w:type="paragraph" w:styleId="Prrafodelista">
    <w:name w:val="List Paragraph"/>
    <w:basedOn w:val="Normal"/>
    <w:uiPriority w:val="34"/>
    <w:qFormat/>
    <w:rsid w:val="00184A82"/>
    <w:pPr>
      <w:spacing w:after="4" w:line="250" w:lineRule="auto"/>
      <w:ind w:left="720" w:right="1" w:hanging="10"/>
      <w:contextualSpacing/>
      <w:jc w:val="both"/>
    </w:pPr>
    <w:rPr>
      <w:rFonts w:ascii="Arial" w:eastAsia="Arial" w:hAnsi="Arial" w:cs="Arial"/>
      <w:color w:val="000000"/>
      <w:sz w:val="20"/>
      <w:szCs w:val="22"/>
      <w:lang w:val="es-CO" w:eastAsia="es-CO"/>
    </w:rPr>
  </w:style>
  <w:style w:type="character" w:styleId="Refdecomentario">
    <w:name w:val="annotation reference"/>
    <w:basedOn w:val="Fuentedeprrafopredeter"/>
    <w:uiPriority w:val="99"/>
    <w:semiHidden/>
    <w:unhideWhenUsed/>
    <w:rsid w:val="00184A82"/>
    <w:rPr>
      <w:sz w:val="16"/>
      <w:szCs w:val="16"/>
    </w:rPr>
  </w:style>
  <w:style w:type="paragraph" w:styleId="Textocomentario">
    <w:name w:val="annotation text"/>
    <w:basedOn w:val="Normal"/>
    <w:link w:val="TextocomentarioCar"/>
    <w:uiPriority w:val="99"/>
    <w:semiHidden/>
    <w:unhideWhenUsed/>
    <w:rsid w:val="00184A82"/>
    <w:pPr>
      <w:spacing w:after="4"/>
      <w:ind w:left="10" w:right="1"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semiHidden/>
    <w:rsid w:val="00184A82"/>
    <w:rPr>
      <w:rFonts w:ascii="Arial" w:eastAsia="Arial" w:hAnsi="Arial" w:cs="Arial"/>
      <w:color w:val="000000"/>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BCE76-3B31-450A-94BF-5EF849997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1240</Words>
  <Characters>6822</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Universidad Icesi</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Andrés Álvarez Mejía</dc:creator>
  <cp:lastModifiedBy>Diana Forero</cp:lastModifiedBy>
  <cp:revision>2</cp:revision>
  <cp:lastPrinted>2018-03-12T17:39:00Z</cp:lastPrinted>
  <dcterms:created xsi:type="dcterms:W3CDTF">2018-03-12T19:16:00Z</dcterms:created>
  <dcterms:modified xsi:type="dcterms:W3CDTF">2018-03-12T19:16:00Z</dcterms:modified>
</cp:coreProperties>
</file>